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90" w:rsidRPr="00264190" w:rsidRDefault="00264190" w:rsidP="00264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190">
        <w:rPr>
          <w:rFonts w:ascii="Times New Roman" w:hAnsi="Times New Roman" w:cs="Times New Roman"/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190" w:rsidRPr="00264190" w:rsidRDefault="00264190" w:rsidP="00264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190" w:rsidRPr="00264190" w:rsidRDefault="00264190" w:rsidP="00264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190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264190" w:rsidRPr="00264190" w:rsidRDefault="00FA661A" w:rsidP="00264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«КАРДЫМОВСКИЙ </w:t>
      </w:r>
      <w:r w:rsidR="00264190" w:rsidRPr="00264190">
        <w:rPr>
          <w:rFonts w:ascii="Times New Roman" w:hAnsi="Times New Roman" w:cs="Times New Roman"/>
          <w:b/>
          <w:sz w:val="28"/>
          <w:szCs w:val="28"/>
        </w:rPr>
        <w:t xml:space="preserve">РАЙОН» СМОЛЕНСКОЙ ОБЛАСТИ </w:t>
      </w:r>
    </w:p>
    <w:p w:rsidR="00264190" w:rsidRPr="00264190" w:rsidRDefault="00264190" w:rsidP="00264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190" w:rsidRPr="00264190" w:rsidRDefault="00264190" w:rsidP="00264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190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64190" w:rsidRPr="00264190" w:rsidRDefault="00264190" w:rsidP="00264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190" w:rsidRPr="00264190" w:rsidRDefault="006E41A0" w:rsidP="00264190">
      <w:pPr>
        <w:shd w:val="clear" w:color="auto" w:fill="FFFFFF"/>
        <w:spacing w:before="324" w:after="0"/>
        <w:ind w:left="7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от </w:t>
      </w:r>
      <w:r w:rsidR="000C19EF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19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.</w:t>
      </w:r>
      <w:r w:rsidR="000C19EF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06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.2020</w:t>
      </w:r>
      <w:r w:rsidR="00FA661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264190" w:rsidRPr="0026419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№ </w:t>
      </w:r>
      <w:r w:rsidR="000C19EF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00327</w:t>
      </w:r>
    </w:p>
    <w:p w:rsidR="00264190" w:rsidRPr="00264190" w:rsidRDefault="00264190" w:rsidP="00264190">
      <w:pPr>
        <w:pStyle w:val="ConsPlusNormal"/>
        <w:ind w:right="53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4190" w:rsidRPr="008363D8" w:rsidRDefault="00264190" w:rsidP="00594AC0">
      <w:pPr>
        <w:pStyle w:val="ConsPlusNormal"/>
        <w:ind w:right="5385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19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76AB6">
        <w:rPr>
          <w:rFonts w:ascii="Times New Roman" w:hAnsi="Times New Roman" w:cs="Times New Roman"/>
          <w:sz w:val="28"/>
          <w:szCs w:val="28"/>
        </w:rPr>
        <w:t>р</w:t>
      </w:r>
      <w:r w:rsidR="00CC205A">
        <w:rPr>
          <w:rFonts w:ascii="Times New Roman" w:hAnsi="Times New Roman" w:cs="Times New Roman"/>
          <w:sz w:val="28"/>
          <w:szCs w:val="28"/>
        </w:rPr>
        <w:t xml:space="preserve">езультатов оценки эффективности управления </w:t>
      </w:r>
      <w:r w:rsidR="008363D8" w:rsidRPr="008363D8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муниципальным</w:t>
      </w:r>
      <w:r w:rsidR="008363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363D8" w:rsidRPr="008363D8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унитарным предприятием</w:t>
      </w:r>
      <w:r w:rsidR="00CC205A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«ТеплоЭнергоРесурс» Кардымовского района</w:t>
      </w:r>
      <w:r w:rsidR="00204714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E41A0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по итогам 2019 </w:t>
      </w:r>
      <w:r w:rsidR="0043771A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года</w:t>
      </w:r>
      <w:r w:rsidR="008363D8" w:rsidRPr="008363D8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594AC0" w:rsidRPr="00594AC0" w:rsidRDefault="00594AC0" w:rsidP="00594AC0">
      <w:pPr>
        <w:pStyle w:val="ConsPlusNormal"/>
        <w:ind w:right="53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4190" w:rsidRPr="00F06888" w:rsidRDefault="0092119C" w:rsidP="00F06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19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921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представленных МУП «ТеплоЭнергоРесурс» Кардымовского рай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21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1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рассчитанных значений фактических показателей эффективности деятельности предприятия,  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363D8" w:rsidRPr="00F06888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F06888" w:rsidRPr="00F06888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«Кардымовский рай</w:t>
      </w:r>
      <w:r w:rsidR="00B53D1C">
        <w:rPr>
          <w:rFonts w:ascii="Times New Roman" w:hAnsi="Times New Roman" w:cs="Times New Roman"/>
          <w:sz w:val="28"/>
          <w:szCs w:val="28"/>
        </w:rPr>
        <w:t>он» Смоленской области 03.04.2019</w:t>
      </w:r>
      <w:r w:rsidR="00F06888" w:rsidRPr="00F06888">
        <w:rPr>
          <w:rFonts w:ascii="Times New Roman" w:hAnsi="Times New Roman" w:cs="Times New Roman"/>
          <w:sz w:val="28"/>
          <w:szCs w:val="28"/>
        </w:rPr>
        <w:t xml:space="preserve"> № </w:t>
      </w:r>
      <w:r w:rsidR="00B53D1C">
        <w:rPr>
          <w:rFonts w:ascii="Times New Roman" w:hAnsi="Times New Roman" w:cs="Times New Roman"/>
          <w:sz w:val="28"/>
          <w:szCs w:val="28"/>
        </w:rPr>
        <w:t>00196</w:t>
      </w:r>
      <w:r w:rsidR="00F06888" w:rsidRPr="00F06888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оценки эффективности управления муниципальным унитарным предприятием, осуществляющим деятельность в сфере </w:t>
      </w:r>
      <w:r w:rsidR="00F06888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F06888" w:rsidRPr="00F06888">
        <w:rPr>
          <w:rFonts w:ascii="Times New Roman" w:hAnsi="Times New Roman" w:cs="Times New Roman"/>
          <w:sz w:val="28"/>
          <w:szCs w:val="28"/>
        </w:rPr>
        <w:t>»,</w:t>
      </w:r>
      <w:r w:rsidR="00F06888">
        <w:rPr>
          <w:rFonts w:ascii="Times New Roman" w:hAnsi="Times New Roman" w:cs="Times New Roman"/>
          <w:sz w:val="28"/>
          <w:szCs w:val="28"/>
        </w:rPr>
        <w:t xml:space="preserve"> </w:t>
      </w:r>
      <w:r w:rsidR="008363D8" w:rsidRPr="00F06888">
        <w:rPr>
          <w:rFonts w:ascii="Times New Roman" w:hAnsi="Times New Roman" w:cs="Times New Roman"/>
          <w:sz w:val="28"/>
          <w:szCs w:val="28"/>
        </w:rPr>
        <w:t>Приказом Мин</w:t>
      </w:r>
      <w:r w:rsidR="00655407" w:rsidRPr="00F06888">
        <w:rPr>
          <w:rFonts w:ascii="Times New Roman" w:hAnsi="Times New Roman" w:cs="Times New Roman"/>
          <w:sz w:val="28"/>
          <w:szCs w:val="28"/>
        </w:rPr>
        <w:t xml:space="preserve">истерства экономического развития Российской Федерации и Министерства строительства и жилищно-коммунального хозяйства Российской Федерации </w:t>
      </w:r>
      <w:r w:rsidR="008363D8" w:rsidRPr="00F06888">
        <w:rPr>
          <w:rFonts w:ascii="Times New Roman" w:hAnsi="Times New Roman" w:cs="Times New Roman"/>
          <w:sz w:val="28"/>
          <w:szCs w:val="28"/>
        </w:rPr>
        <w:t>от 7 июля 2014 года № 373/пр/428 «Об утверждении методических рекомендаций по установлению рекомендуемых показателей эффективности управления государственными и муниципальными предприятиями, осуществляющими деятельность в сфере жилищно-коммунального хозяйства, и рекомендуемых критериев оценки эффективности управления государственными и муниципальными предприятиями, осуществляющими деятельность в сфере жилищно-коммунального хозяйства», в целях осуществления эффективного контроля за деятельностью муниципальных унитарных предприятий, осуществляющих деятельность в сфере жилищно-коммунального хозяйства</w:t>
      </w:r>
      <w:r w:rsidR="006265F7" w:rsidRPr="00F06888">
        <w:rPr>
          <w:rFonts w:ascii="Times New Roman" w:hAnsi="Times New Roman" w:cs="Times New Roman"/>
          <w:sz w:val="28"/>
          <w:szCs w:val="28"/>
        </w:rPr>
        <w:t xml:space="preserve">, </w:t>
      </w:r>
      <w:r w:rsidR="00264190" w:rsidRPr="00F06888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«Кардымовский район»</w:t>
      </w:r>
      <w:r w:rsidR="00594AC0" w:rsidRPr="00F06888">
        <w:rPr>
          <w:rFonts w:ascii="Times New Roman" w:hAnsi="Times New Roman" w:cs="Times New Roman"/>
          <w:sz w:val="28"/>
          <w:szCs w:val="28"/>
        </w:rPr>
        <w:t xml:space="preserve"> </w:t>
      </w:r>
      <w:r w:rsidR="00264190" w:rsidRPr="00F06888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264190" w:rsidRPr="00264190" w:rsidRDefault="00264190" w:rsidP="0026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190" w:rsidRPr="00264190" w:rsidRDefault="00264190" w:rsidP="00264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90">
        <w:rPr>
          <w:rFonts w:ascii="Times New Roman" w:hAnsi="Times New Roman" w:cs="Times New Roman"/>
          <w:sz w:val="28"/>
          <w:szCs w:val="28"/>
        </w:rPr>
        <w:t>п о с т а н о в л я е т</w:t>
      </w:r>
      <w:r w:rsidRPr="00264190">
        <w:rPr>
          <w:rFonts w:ascii="Times New Roman" w:hAnsi="Times New Roman" w:cs="Times New Roman"/>
          <w:b/>
          <w:sz w:val="28"/>
          <w:szCs w:val="28"/>
        </w:rPr>
        <w:t>:</w:t>
      </w:r>
    </w:p>
    <w:p w:rsidR="00264190" w:rsidRPr="00264190" w:rsidRDefault="00264190" w:rsidP="00264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190" w:rsidRPr="00264190" w:rsidRDefault="00264190" w:rsidP="008363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9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76AB6">
        <w:rPr>
          <w:rFonts w:ascii="Times New Roman" w:hAnsi="Times New Roman" w:cs="Times New Roman"/>
          <w:sz w:val="28"/>
          <w:szCs w:val="28"/>
        </w:rPr>
        <w:t>р</w:t>
      </w:r>
      <w:r w:rsidR="00CC205A">
        <w:rPr>
          <w:rFonts w:ascii="Times New Roman" w:hAnsi="Times New Roman" w:cs="Times New Roman"/>
          <w:sz w:val="28"/>
          <w:szCs w:val="28"/>
        </w:rPr>
        <w:t xml:space="preserve">езультаты оценки эффективности управления </w:t>
      </w:r>
      <w:r w:rsidR="00CC205A" w:rsidRPr="008363D8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муниципальным</w:t>
      </w:r>
      <w:r w:rsidR="00CC20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C205A" w:rsidRPr="008363D8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унитарным предприятием</w:t>
      </w:r>
      <w:r w:rsidR="00CC205A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«ТеплоЭнергоРесурс» Кардымовского района</w:t>
      </w:r>
      <w:r w:rsidR="00204714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E41A0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по итогам </w:t>
      </w:r>
      <w:r w:rsidR="006E41A0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2019</w:t>
      </w:r>
      <w:r w:rsidR="0043771A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года</w:t>
      </w:r>
      <w:r w:rsidR="00CC205A" w:rsidRPr="008363D8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264190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согласно приложению к настоящему постановлению</w:t>
      </w:r>
      <w:r w:rsidRPr="00264190">
        <w:rPr>
          <w:rFonts w:ascii="Times New Roman" w:hAnsi="Times New Roman" w:cs="Times New Roman"/>
          <w:sz w:val="28"/>
          <w:szCs w:val="28"/>
        </w:rPr>
        <w:t>.</w:t>
      </w:r>
    </w:p>
    <w:p w:rsidR="00264190" w:rsidRPr="00264190" w:rsidRDefault="00264190" w:rsidP="002641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641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Настоящее </w:t>
      </w:r>
      <w:r w:rsidR="00FA661A" w:rsidRPr="00FA661A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постановление</w:t>
      </w:r>
      <w:r w:rsidR="00FA661A" w:rsidRPr="00043966">
        <w:rPr>
          <w:color w:val="000000"/>
          <w:spacing w:val="1"/>
          <w:sz w:val="28"/>
          <w:szCs w:val="28"/>
        </w:rPr>
        <w:t xml:space="preserve"> </w:t>
      </w:r>
      <w:r w:rsidR="00594AC0">
        <w:rPr>
          <w:rFonts w:ascii="Times New Roman" w:hAnsi="Times New Roman" w:cs="Times New Roman"/>
          <w:color w:val="000000"/>
          <w:spacing w:val="1"/>
          <w:sz w:val="28"/>
          <w:szCs w:val="28"/>
        </w:rPr>
        <w:t>опубликовать</w:t>
      </w:r>
      <w:r w:rsidRPr="002641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 официальном сайте Администрации </w:t>
      </w:r>
      <w:r w:rsidRPr="00264190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 в сети «Интер</w:t>
      </w:r>
      <w:r w:rsidR="00204714">
        <w:rPr>
          <w:rFonts w:ascii="Times New Roman" w:hAnsi="Times New Roman" w:cs="Times New Roman"/>
          <w:sz w:val="28"/>
          <w:szCs w:val="28"/>
        </w:rPr>
        <w:t>нет»</w:t>
      </w:r>
      <w:r w:rsidRPr="00264190">
        <w:rPr>
          <w:rFonts w:ascii="Times New Roman" w:hAnsi="Times New Roman" w:cs="Times New Roman"/>
          <w:sz w:val="28"/>
          <w:szCs w:val="28"/>
        </w:rPr>
        <w:t>.</w:t>
      </w:r>
    </w:p>
    <w:p w:rsidR="00B6207C" w:rsidRPr="00264190" w:rsidRDefault="00B6207C" w:rsidP="00B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64190">
        <w:rPr>
          <w:rFonts w:ascii="Times New Roman" w:hAnsi="Times New Roman" w:cs="Times New Roman"/>
          <w:sz w:val="28"/>
          <w:szCs w:val="28"/>
        </w:rPr>
        <w:t xml:space="preserve">. </w:t>
      </w:r>
      <w:r w:rsidR="00557B84" w:rsidRPr="00D17A11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заместителя Главы муниципального образования «Кардымовский район» Смоленской области Д.В.Тарасова</w:t>
      </w:r>
      <w:r w:rsidRPr="00264190">
        <w:rPr>
          <w:rFonts w:ascii="Times New Roman" w:hAnsi="Times New Roman" w:cs="Times New Roman"/>
          <w:sz w:val="28"/>
          <w:szCs w:val="28"/>
        </w:rPr>
        <w:t>.</w:t>
      </w:r>
    </w:p>
    <w:p w:rsidR="00B6207C" w:rsidRPr="00D17A11" w:rsidRDefault="00B6207C" w:rsidP="002641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A11">
        <w:rPr>
          <w:rFonts w:ascii="Times New Roman" w:hAnsi="Times New Roman" w:cs="Times New Roman"/>
          <w:sz w:val="28"/>
          <w:szCs w:val="28"/>
        </w:rPr>
        <w:t>4.</w:t>
      </w:r>
      <w:r w:rsidR="00557B84" w:rsidRPr="00557B84">
        <w:rPr>
          <w:rFonts w:ascii="Times New Roman" w:hAnsi="Times New Roman" w:cs="Times New Roman"/>
          <w:sz w:val="28"/>
          <w:szCs w:val="28"/>
        </w:rPr>
        <w:t xml:space="preserve"> </w:t>
      </w:r>
      <w:r w:rsidR="00557B84" w:rsidRPr="0026419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="00D17A11">
        <w:rPr>
          <w:rFonts w:ascii="Times New Roman" w:hAnsi="Times New Roman" w:cs="Times New Roman"/>
          <w:sz w:val="28"/>
          <w:szCs w:val="28"/>
        </w:rPr>
        <w:t>.</w:t>
      </w:r>
    </w:p>
    <w:p w:rsidR="00264190" w:rsidRPr="00264190" w:rsidRDefault="00264190" w:rsidP="00264190">
      <w:pPr>
        <w:shd w:val="clear" w:color="auto" w:fill="FFFFFF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190" w:rsidRPr="00264190" w:rsidRDefault="00264190" w:rsidP="00264190">
      <w:pPr>
        <w:shd w:val="clear" w:color="auto" w:fill="FFFFFF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528"/>
      </w:tblGrid>
      <w:tr w:rsidR="008363D8" w:rsidTr="00557B84">
        <w:tc>
          <w:tcPr>
            <w:tcW w:w="4786" w:type="dxa"/>
          </w:tcPr>
          <w:p w:rsidR="008363D8" w:rsidRDefault="006E41A0" w:rsidP="009408C1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</w:t>
            </w:r>
            <w:r w:rsidR="008363D8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528" w:type="dxa"/>
          </w:tcPr>
          <w:p w:rsidR="008363D8" w:rsidRPr="007E5E67" w:rsidRDefault="008363D8" w:rsidP="006E41A0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Pr="007E5E67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7E5E67">
              <w:rPr>
                <w:b/>
                <w:sz w:val="28"/>
                <w:szCs w:val="28"/>
              </w:rPr>
              <w:t xml:space="preserve"> </w:t>
            </w:r>
            <w:r w:rsidR="006E41A0">
              <w:rPr>
                <w:b/>
                <w:sz w:val="28"/>
                <w:szCs w:val="28"/>
              </w:rPr>
              <w:t xml:space="preserve">               </w:t>
            </w:r>
            <w:r w:rsidR="00557B84">
              <w:rPr>
                <w:b/>
                <w:sz w:val="28"/>
                <w:szCs w:val="28"/>
              </w:rPr>
              <w:t xml:space="preserve">       </w:t>
            </w:r>
            <w:r w:rsidR="006E41A0">
              <w:rPr>
                <w:b/>
                <w:sz w:val="28"/>
                <w:szCs w:val="28"/>
              </w:rPr>
              <w:t xml:space="preserve">  П.П. Никитенков</w:t>
            </w:r>
          </w:p>
        </w:tc>
      </w:tr>
    </w:tbl>
    <w:p w:rsidR="00B3273C" w:rsidRDefault="00B3273C" w:rsidP="0026419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FA661A" w:rsidRDefault="00FA661A" w:rsidP="0026419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FA661A" w:rsidRDefault="00FA661A" w:rsidP="00FA661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363D8" w:rsidRDefault="008363D8" w:rsidP="00FA661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363D8" w:rsidRDefault="008363D8" w:rsidP="00FA661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363D8" w:rsidRDefault="008363D8" w:rsidP="00FA661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363D8" w:rsidRDefault="008363D8" w:rsidP="00FA661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363D8" w:rsidRDefault="008363D8" w:rsidP="00FA661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363D8" w:rsidRDefault="008363D8" w:rsidP="00FA661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363D8" w:rsidRDefault="008363D8" w:rsidP="00FA661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363D8" w:rsidRDefault="008363D8" w:rsidP="00FA661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363D8" w:rsidRDefault="008363D8" w:rsidP="00FA661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363D8" w:rsidRDefault="008363D8" w:rsidP="00FA661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363D8" w:rsidRDefault="008363D8" w:rsidP="00FA661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363D8" w:rsidRDefault="008363D8" w:rsidP="00FA661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363D8" w:rsidRDefault="008363D8" w:rsidP="00FA661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363D8" w:rsidRDefault="008363D8" w:rsidP="00FA661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363D8" w:rsidRDefault="008363D8" w:rsidP="00FA661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363D8" w:rsidRDefault="008363D8" w:rsidP="00FA661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363D8" w:rsidRDefault="008363D8" w:rsidP="00FA661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363D8" w:rsidRDefault="008363D8" w:rsidP="00FA661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363D8" w:rsidRDefault="008363D8" w:rsidP="00FA661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363D8" w:rsidRDefault="008363D8" w:rsidP="00FA661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363D8" w:rsidRDefault="008363D8" w:rsidP="00FA661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363D8" w:rsidRDefault="008363D8" w:rsidP="00FA661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363D8" w:rsidRDefault="008363D8" w:rsidP="00FA661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363D8" w:rsidRDefault="008363D8" w:rsidP="00FA661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363D8" w:rsidRDefault="008363D8" w:rsidP="00FA661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363D8" w:rsidRDefault="008363D8" w:rsidP="00FA661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363D8" w:rsidRDefault="008363D8" w:rsidP="00FA661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363D8" w:rsidRDefault="008363D8" w:rsidP="00FA661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363D8" w:rsidRDefault="008363D8" w:rsidP="00FA661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363D8" w:rsidRDefault="008363D8" w:rsidP="00FA661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363D8" w:rsidRDefault="008363D8" w:rsidP="00FA661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363D8" w:rsidRDefault="008363D8" w:rsidP="00FA661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363D8" w:rsidRDefault="008363D8" w:rsidP="00FA661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363D8" w:rsidRDefault="008363D8" w:rsidP="0083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05A" w:rsidRPr="00FA661A" w:rsidRDefault="00FB1B1E" w:rsidP="00557B8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274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C205A" w:rsidRPr="00FA661A">
        <w:rPr>
          <w:rFonts w:ascii="Times New Roman" w:hAnsi="Times New Roman" w:cs="Times New Roman"/>
          <w:sz w:val="24"/>
          <w:szCs w:val="24"/>
        </w:rPr>
        <w:t>УТВЕРЖДЕН</w:t>
      </w:r>
      <w:r w:rsidR="00C2749D">
        <w:rPr>
          <w:rFonts w:ascii="Times New Roman" w:hAnsi="Times New Roman" w:cs="Times New Roman"/>
          <w:sz w:val="24"/>
          <w:szCs w:val="24"/>
        </w:rPr>
        <w:t>Ы</w:t>
      </w:r>
    </w:p>
    <w:p w:rsidR="00CC205A" w:rsidRPr="00FA661A" w:rsidRDefault="00CC205A" w:rsidP="00557B8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FA661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C205A" w:rsidRPr="00FA661A" w:rsidRDefault="00CC205A" w:rsidP="00557B8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FA661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C205A" w:rsidRPr="00FA661A" w:rsidRDefault="00CC205A" w:rsidP="00557B8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FA661A">
        <w:rPr>
          <w:rFonts w:ascii="Times New Roman" w:hAnsi="Times New Roman" w:cs="Times New Roman"/>
          <w:sz w:val="24"/>
          <w:szCs w:val="24"/>
        </w:rPr>
        <w:t>«Кардымовский район»</w:t>
      </w:r>
    </w:p>
    <w:p w:rsidR="00CC205A" w:rsidRPr="00FA661A" w:rsidRDefault="00CC205A" w:rsidP="00557B8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FA661A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CC205A" w:rsidRPr="00FA661A" w:rsidRDefault="006E41A0" w:rsidP="00557B8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__.__.2020</w:t>
      </w:r>
      <w:r w:rsidR="00CC205A" w:rsidRPr="00FA661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594AC0" w:rsidRPr="00264190" w:rsidRDefault="00594AC0" w:rsidP="0026419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204714" w:rsidRDefault="00F5081F" w:rsidP="008363D8">
      <w:pPr>
        <w:pStyle w:val="formattext"/>
        <w:spacing w:before="0" w:beforeAutospacing="0" w:after="0" w:afterAutospacing="0"/>
        <w:ind w:firstLine="709"/>
        <w:jc w:val="center"/>
        <w:rPr>
          <w:rStyle w:val="ab"/>
          <w:caps/>
          <w:color w:val="000000"/>
          <w:sz w:val="28"/>
          <w:szCs w:val="28"/>
          <w:shd w:val="clear" w:color="auto" w:fill="FFFFFF"/>
        </w:rPr>
      </w:pPr>
      <w:r>
        <w:rPr>
          <w:b/>
          <w:caps/>
          <w:sz w:val="28"/>
          <w:szCs w:val="28"/>
        </w:rPr>
        <w:t>Р</w:t>
      </w:r>
      <w:r w:rsidR="00CC205A">
        <w:rPr>
          <w:b/>
          <w:caps/>
          <w:sz w:val="28"/>
          <w:szCs w:val="28"/>
        </w:rPr>
        <w:t>езультаты</w:t>
      </w:r>
      <w:r>
        <w:rPr>
          <w:b/>
          <w:caps/>
          <w:sz w:val="28"/>
          <w:szCs w:val="28"/>
        </w:rPr>
        <w:t xml:space="preserve"> оценки эффективности управления </w:t>
      </w:r>
      <w:r w:rsidR="008363D8" w:rsidRPr="008363D8">
        <w:rPr>
          <w:rStyle w:val="ab"/>
          <w:caps/>
          <w:color w:val="000000"/>
          <w:sz w:val="28"/>
          <w:szCs w:val="28"/>
          <w:shd w:val="clear" w:color="auto" w:fill="FFFFFF"/>
        </w:rPr>
        <w:t>муниципальным</w:t>
      </w:r>
      <w:r w:rsidR="008363D8" w:rsidRPr="008363D8">
        <w:rPr>
          <w:caps/>
          <w:color w:val="000000"/>
          <w:sz w:val="28"/>
          <w:szCs w:val="28"/>
        </w:rPr>
        <w:t xml:space="preserve"> </w:t>
      </w:r>
      <w:r w:rsidR="008363D8" w:rsidRPr="008363D8">
        <w:rPr>
          <w:rStyle w:val="ab"/>
          <w:caps/>
          <w:color w:val="000000"/>
          <w:sz w:val="28"/>
          <w:szCs w:val="28"/>
          <w:shd w:val="clear" w:color="auto" w:fill="FFFFFF"/>
        </w:rPr>
        <w:t>унитарным предприятием</w:t>
      </w:r>
      <w:r>
        <w:rPr>
          <w:rStyle w:val="ab"/>
          <w:caps/>
          <w:color w:val="000000"/>
          <w:sz w:val="28"/>
          <w:szCs w:val="28"/>
          <w:shd w:val="clear" w:color="auto" w:fill="FFFFFF"/>
        </w:rPr>
        <w:t xml:space="preserve"> «Теплоэнергоресурс» Кардымовского района</w:t>
      </w:r>
      <w:r w:rsidR="00204714">
        <w:rPr>
          <w:rStyle w:val="ab"/>
          <w:caps/>
          <w:color w:val="000000"/>
          <w:sz w:val="28"/>
          <w:szCs w:val="28"/>
          <w:shd w:val="clear" w:color="auto" w:fill="FFFFFF"/>
        </w:rPr>
        <w:t xml:space="preserve"> </w:t>
      </w:r>
    </w:p>
    <w:p w:rsidR="00FA661A" w:rsidRPr="008363D8" w:rsidRDefault="006E41A0" w:rsidP="008363D8">
      <w:pPr>
        <w:pStyle w:val="formattext"/>
        <w:spacing w:before="0" w:beforeAutospacing="0" w:after="0" w:afterAutospacing="0"/>
        <w:ind w:firstLine="709"/>
        <w:jc w:val="center"/>
        <w:rPr>
          <w:rStyle w:val="ab"/>
          <w:caps/>
          <w:color w:val="000000"/>
          <w:sz w:val="28"/>
          <w:szCs w:val="28"/>
          <w:shd w:val="clear" w:color="auto" w:fill="FFFFFF"/>
        </w:rPr>
      </w:pPr>
      <w:r>
        <w:rPr>
          <w:rStyle w:val="ab"/>
          <w:caps/>
          <w:color w:val="000000"/>
          <w:sz w:val="28"/>
          <w:szCs w:val="28"/>
          <w:shd w:val="clear" w:color="auto" w:fill="FFFFFF"/>
        </w:rPr>
        <w:t>по итогам 2019</w:t>
      </w:r>
      <w:r w:rsidR="0043771A">
        <w:rPr>
          <w:rStyle w:val="ab"/>
          <w:caps/>
          <w:color w:val="000000"/>
          <w:sz w:val="28"/>
          <w:szCs w:val="28"/>
          <w:shd w:val="clear" w:color="auto" w:fill="FFFFFF"/>
        </w:rPr>
        <w:t xml:space="preserve"> года</w:t>
      </w:r>
    </w:p>
    <w:p w:rsidR="008363D8" w:rsidRDefault="008363D8" w:rsidP="007F20B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76AB6" w:rsidRDefault="00F53E39" w:rsidP="00F53E39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r w:rsidR="00CC205A">
        <w:rPr>
          <w:color w:val="000000"/>
          <w:sz w:val="28"/>
          <w:szCs w:val="28"/>
          <w:shd w:val="clear" w:color="auto" w:fill="FFFFFF"/>
        </w:rPr>
        <w:t>О</w:t>
      </w:r>
      <w:r w:rsidR="00B6207C" w:rsidRPr="00B6207C">
        <w:rPr>
          <w:color w:val="000000"/>
          <w:sz w:val="28"/>
          <w:szCs w:val="28"/>
          <w:shd w:val="clear" w:color="auto" w:fill="FFFFFF"/>
        </w:rPr>
        <w:t>ценка эффективности управления муниц</w:t>
      </w:r>
      <w:r w:rsidR="00B6207C">
        <w:rPr>
          <w:color w:val="000000"/>
          <w:sz w:val="28"/>
          <w:szCs w:val="28"/>
          <w:shd w:val="clear" w:color="auto" w:fill="FFFFFF"/>
        </w:rPr>
        <w:t>ипальным унитарным предприятием</w:t>
      </w:r>
      <w:r w:rsidR="00CC205A">
        <w:rPr>
          <w:color w:val="000000"/>
          <w:sz w:val="28"/>
          <w:szCs w:val="28"/>
          <w:shd w:val="clear" w:color="auto" w:fill="FFFFFF"/>
        </w:rPr>
        <w:t xml:space="preserve"> </w:t>
      </w:r>
      <w:r w:rsidR="00CC205A">
        <w:rPr>
          <w:rStyle w:val="ab"/>
          <w:b w:val="0"/>
          <w:color w:val="000000"/>
          <w:sz w:val="28"/>
          <w:szCs w:val="28"/>
          <w:shd w:val="clear" w:color="auto" w:fill="FFFFFF"/>
        </w:rPr>
        <w:t>«ТеплоЭнергоРесурс» Кардымовского района</w:t>
      </w:r>
      <w:r w:rsidR="00D4442A">
        <w:rPr>
          <w:rStyle w:val="ab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204714">
        <w:rPr>
          <w:color w:val="000000"/>
          <w:sz w:val="28"/>
          <w:szCs w:val="28"/>
          <w:shd w:val="clear" w:color="auto" w:fill="FFFFFF"/>
        </w:rPr>
        <w:t>по итогам 201</w:t>
      </w:r>
      <w:r w:rsidR="000B51A5">
        <w:rPr>
          <w:color w:val="000000"/>
          <w:sz w:val="28"/>
          <w:szCs w:val="28"/>
          <w:shd w:val="clear" w:color="auto" w:fill="FFFFFF"/>
        </w:rPr>
        <w:t>9</w:t>
      </w:r>
      <w:r w:rsidR="00204714">
        <w:rPr>
          <w:color w:val="000000"/>
          <w:sz w:val="28"/>
          <w:szCs w:val="28"/>
          <w:shd w:val="clear" w:color="auto" w:fill="FFFFFF"/>
        </w:rPr>
        <w:t xml:space="preserve"> года проведена в соответствии с </w:t>
      </w:r>
      <w:r w:rsidR="00D4442A">
        <w:rPr>
          <w:color w:val="000000"/>
          <w:sz w:val="28"/>
          <w:szCs w:val="28"/>
          <w:shd w:val="clear" w:color="auto" w:fill="FFFFFF"/>
        </w:rPr>
        <w:t>рекомендуемым</w:t>
      </w:r>
      <w:r w:rsidR="00204714">
        <w:rPr>
          <w:color w:val="000000"/>
          <w:sz w:val="28"/>
          <w:szCs w:val="28"/>
          <w:shd w:val="clear" w:color="auto" w:fill="FFFFFF"/>
        </w:rPr>
        <w:t>и</w:t>
      </w:r>
      <w:r w:rsidR="00440AA1">
        <w:rPr>
          <w:color w:val="000000"/>
          <w:sz w:val="28"/>
          <w:szCs w:val="28"/>
          <w:shd w:val="clear" w:color="auto" w:fill="FFFFFF"/>
        </w:rPr>
        <w:t xml:space="preserve"> показателям</w:t>
      </w:r>
      <w:r w:rsidR="00204714">
        <w:rPr>
          <w:color w:val="000000"/>
          <w:sz w:val="28"/>
          <w:szCs w:val="28"/>
          <w:shd w:val="clear" w:color="auto" w:fill="FFFFFF"/>
        </w:rPr>
        <w:t>и</w:t>
      </w:r>
      <w:r w:rsidR="00440AA1">
        <w:rPr>
          <w:color w:val="000000"/>
          <w:sz w:val="28"/>
          <w:szCs w:val="28"/>
          <w:shd w:val="clear" w:color="auto" w:fill="FFFFFF"/>
        </w:rPr>
        <w:t xml:space="preserve"> и рекомендуемым</w:t>
      </w:r>
      <w:r w:rsidR="00204714">
        <w:rPr>
          <w:color w:val="000000"/>
          <w:sz w:val="28"/>
          <w:szCs w:val="28"/>
          <w:shd w:val="clear" w:color="auto" w:fill="FFFFFF"/>
        </w:rPr>
        <w:t>и</w:t>
      </w:r>
      <w:r w:rsidR="00440AA1">
        <w:rPr>
          <w:color w:val="000000"/>
          <w:sz w:val="28"/>
          <w:szCs w:val="28"/>
          <w:shd w:val="clear" w:color="auto" w:fill="FFFFFF"/>
        </w:rPr>
        <w:t xml:space="preserve"> критериям</w:t>
      </w:r>
      <w:r w:rsidR="00204714">
        <w:rPr>
          <w:color w:val="000000"/>
          <w:sz w:val="28"/>
          <w:szCs w:val="28"/>
          <w:shd w:val="clear" w:color="auto" w:fill="FFFFFF"/>
        </w:rPr>
        <w:t>и</w:t>
      </w:r>
      <w:r w:rsidR="00D4442A">
        <w:rPr>
          <w:color w:val="000000"/>
          <w:sz w:val="28"/>
          <w:szCs w:val="28"/>
          <w:shd w:val="clear" w:color="auto" w:fill="FFFFFF"/>
        </w:rPr>
        <w:t>, утвержденным</w:t>
      </w:r>
      <w:r w:rsidR="00204714">
        <w:rPr>
          <w:color w:val="000000"/>
          <w:sz w:val="28"/>
          <w:szCs w:val="28"/>
          <w:shd w:val="clear" w:color="auto" w:fill="FFFFFF"/>
        </w:rPr>
        <w:t>и</w:t>
      </w:r>
      <w:r w:rsidR="00D4442A">
        <w:rPr>
          <w:color w:val="000000"/>
          <w:sz w:val="28"/>
          <w:szCs w:val="28"/>
          <w:shd w:val="clear" w:color="auto" w:fill="FFFFFF"/>
        </w:rPr>
        <w:t xml:space="preserve"> </w:t>
      </w:r>
      <w:r w:rsidR="00D4442A" w:rsidRPr="008363D8">
        <w:rPr>
          <w:color w:val="000000"/>
          <w:sz w:val="28"/>
          <w:szCs w:val="28"/>
          <w:shd w:val="clear" w:color="auto" w:fill="FFFFFF"/>
        </w:rPr>
        <w:t>Приказом Мин</w:t>
      </w:r>
      <w:r w:rsidR="00D4442A">
        <w:rPr>
          <w:color w:val="000000"/>
          <w:sz w:val="28"/>
          <w:szCs w:val="28"/>
          <w:shd w:val="clear" w:color="auto" w:fill="FFFFFF"/>
        </w:rPr>
        <w:t>истерства экономического развития Российской Федерации и Министерства строительства и жилищно-коммунального хозяйства Российской Федерации от 7 июля 2014 года № 373/пр/428 «</w:t>
      </w:r>
      <w:r w:rsidR="00D4442A" w:rsidRPr="008363D8">
        <w:rPr>
          <w:color w:val="000000"/>
          <w:sz w:val="28"/>
          <w:szCs w:val="28"/>
          <w:shd w:val="clear" w:color="auto" w:fill="FFFFFF"/>
        </w:rPr>
        <w:t xml:space="preserve">Об утверждении методических рекомендаций по установлению рекомендуемых показателей эффективности управления государственными и муниципальными предприятиями, осуществляющими деятельность в сфере жилищно-коммунального хозяйства, и рекомендуемых критериев оценки эффективности управления государственными и муниципальными предприятиями, осуществляющими деятельность в сфере </w:t>
      </w:r>
      <w:r w:rsidR="00D4442A">
        <w:rPr>
          <w:color w:val="000000"/>
          <w:sz w:val="28"/>
          <w:szCs w:val="28"/>
          <w:shd w:val="clear" w:color="auto" w:fill="FFFFFF"/>
        </w:rPr>
        <w:t>жилищно-коммунального хозяйства» (далее – Приказ от 7 июля 2014 года № 373/пр/428).</w:t>
      </w:r>
    </w:p>
    <w:p w:rsidR="000D6173" w:rsidRDefault="00204714" w:rsidP="00F53E39">
      <w:pPr>
        <w:pStyle w:val="formattext"/>
        <w:spacing w:before="0" w:beforeAutospacing="0" w:after="0" w:afterAutospacing="0"/>
        <w:ind w:firstLine="709"/>
        <w:jc w:val="both"/>
        <w:rPr>
          <w:rStyle w:val="ab"/>
          <w:b w:val="0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При расчете использовались сведения, предоставленные </w:t>
      </w:r>
      <w:r w:rsidRPr="00B6207C">
        <w:rPr>
          <w:color w:val="000000"/>
          <w:sz w:val="28"/>
          <w:szCs w:val="28"/>
          <w:shd w:val="clear" w:color="auto" w:fill="FFFFFF"/>
        </w:rPr>
        <w:t>муниц</w:t>
      </w:r>
      <w:r>
        <w:rPr>
          <w:color w:val="000000"/>
          <w:sz w:val="28"/>
          <w:szCs w:val="28"/>
          <w:shd w:val="clear" w:color="auto" w:fill="FFFFFF"/>
        </w:rPr>
        <w:t xml:space="preserve">ипальным унитарным предприятием </w:t>
      </w:r>
      <w:r>
        <w:rPr>
          <w:rStyle w:val="ab"/>
          <w:b w:val="0"/>
          <w:color w:val="000000"/>
          <w:sz w:val="28"/>
          <w:szCs w:val="28"/>
          <w:shd w:val="clear" w:color="auto" w:fill="FFFFFF"/>
        </w:rPr>
        <w:t>«ТеплоЭнергоРесурс» Кардымовского района (далее - предприятие).</w:t>
      </w:r>
    </w:p>
    <w:p w:rsidR="00EF1548" w:rsidRDefault="00EF1548" w:rsidP="00F53E39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53E39" w:rsidRDefault="00F53E39" w:rsidP="00F53E39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="0062057D">
        <w:rPr>
          <w:color w:val="000000"/>
          <w:sz w:val="28"/>
          <w:szCs w:val="28"/>
          <w:shd w:val="clear" w:color="auto" w:fill="FFFFFF"/>
        </w:rPr>
        <w:t xml:space="preserve">Показатели эффективности </w:t>
      </w:r>
      <w:r w:rsidR="0062057D" w:rsidRPr="00B6207C">
        <w:rPr>
          <w:color w:val="000000"/>
          <w:sz w:val="28"/>
          <w:szCs w:val="28"/>
          <w:shd w:val="clear" w:color="auto" w:fill="FFFFFF"/>
        </w:rPr>
        <w:t>управления</w:t>
      </w:r>
      <w:r w:rsidR="0062057D">
        <w:rPr>
          <w:color w:val="000000"/>
          <w:sz w:val="28"/>
          <w:szCs w:val="28"/>
          <w:shd w:val="clear" w:color="auto" w:fill="FFFFFF"/>
        </w:rPr>
        <w:t xml:space="preserve"> предприятием:</w:t>
      </w:r>
    </w:p>
    <w:tbl>
      <w:tblPr>
        <w:tblStyle w:val="ac"/>
        <w:tblW w:w="0" w:type="auto"/>
        <w:tblInd w:w="108" w:type="dxa"/>
        <w:tblLayout w:type="fixed"/>
        <w:tblLook w:val="04A0"/>
      </w:tblPr>
      <w:tblGrid>
        <w:gridCol w:w="4111"/>
        <w:gridCol w:w="4820"/>
        <w:gridCol w:w="1275"/>
      </w:tblGrid>
      <w:tr w:rsidR="00440AA1" w:rsidTr="001D6BD2">
        <w:trPr>
          <w:trHeight w:val="613"/>
        </w:trPr>
        <w:tc>
          <w:tcPr>
            <w:tcW w:w="4111" w:type="dxa"/>
            <w:vAlign w:val="center"/>
          </w:tcPr>
          <w:p w:rsidR="00440AA1" w:rsidRPr="001D6BD2" w:rsidRDefault="00440AA1" w:rsidP="000D6173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1D6BD2">
              <w:rPr>
                <w:color w:val="000000"/>
                <w:shd w:val="clear" w:color="auto" w:fill="FFFFFF"/>
              </w:rPr>
              <w:t>Наименование показателя эффективности управления предприятием</w:t>
            </w:r>
          </w:p>
        </w:tc>
        <w:tc>
          <w:tcPr>
            <w:tcW w:w="4820" w:type="dxa"/>
            <w:vAlign w:val="center"/>
          </w:tcPr>
          <w:p w:rsidR="00440AA1" w:rsidRPr="001D6BD2" w:rsidRDefault="00440AA1" w:rsidP="000D6173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1D6BD2">
              <w:rPr>
                <w:color w:val="000000"/>
                <w:shd w:val="clear" w:color="auto" w:fill="FFFFFF"/>
              </w:rPr>
              <w:t>Значения показателя</w:t>
            </w:r>
          </w:p>
        </w:tc>
        <w:tc>
          <w:tcPr>
            <w:tcW w:w="1275" w:type="dxa"/>
            <w:vAlign w:val="center"/>
          </w:tcPr>
          <w:p w:rsidR="00440AA1" w:rsidRPr="001D6BD2" w:rsidRDefault="00440AA1" w:rsidP="00440AA1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1D6BD2">
              <w:rPr>
                <w:color w:val="000000"/>
                <w:shd w:val="clear" w:color="auto" w:fill="FFFFFF"/>
              </w:rPr>
              <w:t>Результат</w:t>
            </w:r>
          </w:p>
        </w:tc>
      </w:tr>
      <w:tr w:rsidR="00440AA1" w:rsidTr="001D6BD2">
        <w:tc>
          <w:tcPr>
            <w:tcW w:w="10206" w:type="dxa"/>
            <w:gridSpan w:val="3"/>
          </w:tcPr>
          <w:p w:rsidR="00440AA1" w:rsidRPr="001D6BD2" w:rsidRDefault="00440AA1" w:rsidP="00D4442A">
            <w:pPr>
              <w:pStyle w:val="formattext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1D6BD2">
              <w:rPr>
                <w:b/>
                <w:color w:val="000000"/>
                <w:shd w:val="clear" w:color="auto" w:fill="FFFFFF"/>
              </w:rPr>
              <w:t>Сфера теплоснабжения</w:t>
            </w:r>
          </w:p>
        </w:tc>
      </w:tr>
      <w:tr w:rsidR="00440AA1" w:rsidTr="001D6BD2">
        <w:tc>
          <w:tcPr>
            <w:tcW w:w="4111" w:type="dxa"/>
          </w:tcPr>
          <w:p w:rsidR="00440AA1" w:rsidRPr="001D6BD2" w:rsidRDefault="00440AA1" w:rsidP="007F20B8">
            <w:pPr>
              <w:pStyle w:val="formattext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D6BD2">
              <w:rPr>
                <w:shd w:val="clear" w:color="auto" w:fill="FFFFFF"/>
              </w:rPr>
              <w:t xml:space="preserve">Показатель, характеризующий выполнение плановых показателей надежности, качества и энергетической эффективности в соответствии с законодательством Российской Федерации </w:t>
            </w:r>
            <w:r w:rsidR="001D6BD2">
              <w:rPr>
                <w:shd w:val="clear" w:color="auto" w:fill="FFFFFF"/>
              </w:rPr>
              <w:t>за отчетный период (П</w:t>
            </w:r>
            <w:r w:rsidRPr="001D6BD2">
              <w:rPr>
                <w:shd w:val="clear" w:color="auto" w:fill="FFFFFF"/>
              </w:rPr>
              <w:t>кач.)</w:t>
            </w:r>
          </w:p>
        </w:tc>
        <w:tc>
          <w:tcPr>
            <w:tcW w:w="4820" w:type="dxa"/>
            <w:vAlign w:val="center"/>
          </w:tcPr>
          <w:p w:rsidR="00C3209F" w:rsidRPr="001D6BD2" w:rsidRDefault="00C3209F" w:rsidP="00C3209F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а) при наличии производственной и (или) инвестиционной программы Предприятия, содержащей показатели надежности, качества и энергетической эффективности:</w:t>
            </w:r>
          </w:p>
          <w:p w:rsidR="00C3209F" w:rsidRPr="001D6BD2" w:rsidRDefault="00C3209F" w:rsidP="00C3209F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Пкач. = 0, если в ходе реализации производственной и (или) инвестиционной программы Предприятия не достигнуты показатели надежности, качества и энергетической э</w:t>
            </w:r>
            <w:r w:rsidR="001D6BD2">
              <w:t>ффективности за отчетный период;</w:t>
            </w:r>
          </w:p>
          <w:p w:rsidR="00C3209F" w:rsidRPr="001D6BD2" w:rsidRDefault="00C3209F" w:rsidP="00C3209F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 xml:space="preserve">Пкач. = 1, если в ходе реализации производственной и (или) инвестиционной программы Предприятия достигнуты </w:t>
            </w:r>
            <w:r w:rsidRPr="001D6BD2">
              <w:lastRenderedPageBreak/>
              <w:t>показатели надежности, качества и энергетической эффективности за отчетный период;</w:t>
            </w:r>
          </w:p>
          <w:p w:rsidR="00C3209F" w:rsidRPr="001D6BD2" w:rsidRDefault="00C3209F" w:rsidP="00C3209F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б) при отсутствии инвестиционной программы Предприятия либо в случае, если инвестиционная и (или) производственная программа Предприятия не содержит показатели надежности, качества и энергетической эффективности:</w:t>
            </w:r>
          </w:p>
          <w:p w:rsidR="00C3209F" w:rsidRPr="001D6BD2" w:rsidRDefault="00C3209F" w:rsidP="00C3209F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Пкач. = 0, если количество не исполненных в срок предписаний уполномоченного надзорного органа о несоблюдении установленных требований к качеству превышает одно предписание;</w:t>
            </w:r>
          </w:p>
          <w:p w:rsidR="00440AA1" w:rsidRPr="001D6BD2" w:rsidRDefault="00C3209F" w:rsidP="00C3209F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Пкач. = 1, если количество не исполненных в срок предписаний уполномоченного надзорного органа о несоблюдении установленных требований к качеству не превышает одного предписания.</w:t>
            </w:r>
          </w:p>
        </w:tc>
        <w:tc>
          <w:tcPr>
            <w:tcW w:w="1275" w:type="dxa"/>
            <w:vAlign w:val="center"/>
          </w:tcPr>
          <w:p w:rsidR="00440AA1" w:rsidRPr="001D6BD2" w:rsidRDefault="00C3209F" w:rsidP="00C3209F">
            <w:pPr>
              <w:pStyle w:val="formattext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1D6BD2">
              <w:rPr>
                <w:shd w:val="clear" w:color="auto" w:fill="FFFFFF"/>
              </w:rPr>
              <w:lastRenderedPageBreak/>
              <w:t>1</w:t>
            </w:r>
          </w:p>
        </w:tc>
      </w:tr>
      <w:tr w:rsidR="00440AA1" w:rsidTr="001D6BD2">
        <w:tc>
          <w:tcPr>
            <w:tcW w:w="4111" w:type="dxa"/>
          </w:tcPr>
          <w:p w:rsidR="00440AA1" w:rsidRPr="001D6BD2" w:rsidRDefault="00440AA1" w:rsidP="007F20B8">
            <w:pPr>
              <w:pStyle w:val="formattext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D6BD2">
              <w:rPr>
                <w:shd w:val="clear" w:color="auto" w:fill="FFFFFF"/>
              </w:rPr>
              <w:lastRenderedPageBreak/>
              <w:t>Показатель, характеризующий наличие нецелевого использова</w:t>
            </w:r>
            <w:r w:rsidR="001D6BD2">
              <w:rPr>
                <w:shd w:val="clear" w:color="auto" w:fill="FFFFFF"/>
              </w:rPr>
              <w:t>ния бюджетных средств (П</w:t>
            </w:r>
            <w:r w:rsidRPr="001D6BD2">
              <w:rPr>
                <w:shd w:val="clear" w:color="auto" w:fill="FFFFFF"/>
              </w:rPr>
              <w:t>нецелев.)</w:t>
            </w:r>
          </w:p>
        </w:tc>
        <w:tc>
          <w:tcPr>
            <w:tcW w:w="4820" w:type="dxa"/>
            <w:vAlign w:val="center"/>
          </w:tcPr>
          <w:p w:rsidR="00C3209F" w:rsidRPr="001D6BD2" w:rsidRDefault="00C3209F" w:rsidP="00C3209F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Пнецелев. = 1, если проверка целевого использования бюджетных средств, проведенная в отчетный год, не выявила нецелевое использование бюджетных средств за отчетный год;</w:t>
            </w:r>
          </w:p>
          <w:p w:rsidR="00440AA1" w:rsidRPr="001D6BD2" w:rsidRDefault="00C3209F" w:rsidP="00C3209F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Пнецелев. = 0, если проверка целевого использования бюджетных средств, проведенная в отчетный год, выявила нецелевое использование бюджетных средств за отчетный год.</w:t>
            </w:r>
          </w:p>
        </w:tc>
        <w:tc>
          <w:tcPr>
            <w:tcW w:w="1275" w:type="dxa"/>
            <w:vAlign w:val="center"/>
          </w:tcPr>
          <w:p w:rsidR="00440AA1" w:rsidRPr="001D6BD2" w:rsidRDefault="00C3209F" w:rsidP="00C3209F">
            <w:pPr>
              <w:pStyle w:val="formattext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1D6BD2">
              <w:rPr>
                <w:shd w:val="clear" w:color="auto" w:fill="FFFFFF"/>
              </w:rPr>
              <w:t>1</w:t>
            </w:r>
          </w:p>
        </w:tc>
      </w:tr>
      <w:tr w:rsidR="00440AA1" w:rsidTr="001D6BD2">
        <w:tc>
          <w:tcPr>
            <w:tcW w:w="4111" w:type="dxa"/>
          </w:tcPr>
          <w:p w:rsidR="00440AA1" w:rsidRPr="001D6BD2" w:rsidRDefault="00440AA1" w:rsidP="007F20B8">
            <w:pPr>
              <w:pStyle w:val="formattext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D6BD2">
              <w:rPr>
                <w:shd w:val="clear" w:color="auto" w:fill="FFFFFF"/>
              </w:rPr>
              <w:t>Показатель, характеризующий соблюдение установленных в соответствии с законодательством Российской Федерации сроков рассмотрения жалоб от заявителей на ненадлежащее качество усл</w:t>
            </w:r>
            <w:r w:rsidR="001D6BD2">
              <w:rPr>
                <w:shd w:val="clear" w:color="auto" w:fill="FFFFFF"/>
              </w:rPr>
              <w:t>уг, оказываемых предприятием (П</w:t>
            </w:r>
            <w:r w:rsidRPr="001D6BD2">
              <w:rPr>
                <w:shd w:val="clear" w:color="auto" w:fill="FFFFFF"/>
              </w:rPr>
              <w:t>обр.)</w:t>
            </w:r>
          </w:p>
        </w:tc>
        <w:tc>
          <w:tcPr>
            <w:tcW w:w="4820" w:type="dxa"/>
            <w:vAlign w:val="center"/>
          </w:tcPr>
          <w:p w:rsidR="00C3209F" w:rsidRPr="001D6BD2" w:rsidRDefault="00C3209F" w:rsidP="001D6BD2">
            <w:pPr>
              <w:pStyle w:val="pc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1D6BD2">
              <w:rPr>
                <w:b/>
                <w:bCs/>
              </w:rPr>
              <w:t>Побр. = Nобр.нар.ср.,</w:t>
            </w:r>
            <w:r w:rsidR="001D6BD2">
              <w:rPr>
                <w:b/>
                <w:bCs/>
              </w:rPr>
              <w:t xml:space="preserve"> </w:t>
            </w:r>
            <w:r w:rsidRPr="001D6BD2">
              <w:t>где:</w:t>
            </w:r>
          </w:p>
          <w:p w:rsidR="00C3209F" w:rsidRPr="001D6BD2" w:rsidRDefault="00C3209F" w:rsidP="00C3209F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Побр. - показатель соблюдения установленных сроков рассмотрения жалоб от заявителей на ненадлежащее качество услуг, оказываемых Предприятиями.</w:t>
            </w:r>
          </w:p>
          <w:p w:rsidR="00C3209F" w:rsidRPr="001D6BD2" w:rsidRDefault="00C3209F" w:rsidP="00C3209F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Nобр.нар.ср. - число жалоб потребителей услуг на ненадлежащее качество услуг, по которым Предприятиями в соответствующий отчетный период направлен ответ потребителю с нарушением сроков, установленных в соответствии с нормативными актами, стандартами обслуживания клиентов указанных Предприятий, организационно-распорядительными документами (шт.).</w:t>
            </w:r>
          </w:p>
          <w:p w:rsidR="00440AA1" w:rsidRPr="001D6BD2" w:rsidRDefault="00C3209F" w:rsidP="00C3209F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Если Nобр.нар.ср.= О, то Побр. = 1.</w:t>
            </w:r>
          </w:p>
          <w:p w:rsidR="00C3209F" w:rsidRPr="001D6BD2" w:rsidRDefault="00C3209F" w:rsidP="00C3209F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Если Nобр.нар.ср .≥ 1, то Побр. = 0.</w:t>
            </w:r>
          </w:p>
        </w:tc>
        <w:tc>
          <w:tcPr>
            <w:tcW w:w="1275" w:type="dxa"/>
            <w:vAlign w:val="center"/>
          </w:tcPr>
          <w:p w:rsidR="00440AA1" w:rsidRPr="001D6BD2" w:rsidRDefault="00C3209F" w:rsidP="00C3209F">
            <w:pPr>
              <w:pStyle w:val="formattext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1D6BD2">
              <w:rPr>
                <w:shd w:val="clear" w:color="auto" w:fill="FFFFFF"/>
              </w:rPr>
              <w:t>1</w:t>
            </w:r>
          </w:p>
        </w:tc>
      </w:tr>
      <w:tr w:rsidR="00440AA1" w:rsidTr="001D6BD2">
        <w:tc>
          <w:tcPr>
            <w:tcW w:w="4111" w:type="dxa"/>
          </w:tcPr>
          <w:p w:rsidR="00440AA1" w:rsidRPr="001D6BD2" w:rsidRDefault="00440AA1" w:rsidP="007F20B8">
            <w:pPr>
              <w:pStyle w:val="formattext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D6BD2">
              <w:rPr>
                <w:shd w:val="clear" w:color="auto" w:fill="FFFFFF"/>
              </w:rPr>
              <w:t>Показатель, характеризующий оборачиваемость кредиторск</w:t>
            </w:r>
            <w:r w:rsidR="001D6BD2">
              <w:rPr>
                <w:shd w:val="clear" w:color="auto" w:fill="FFFFFF"/>
              </w:rPr>
              <w:t>ой задолженности предприятия (П</w:t>
            </w:r>
            <w:r w:rsidRPr="001D6BD2">
              <w:rPr>
                <w:shd w:val="clear" w:color="auto" w:fill="FFFFFF"/>
              </w:rPr>
              <w:t>о.к.з.)</w:t>
            </w:r>
          </w:p>
        </w:tc>
        <w:tc>
          <w:tcPr>
            <w:tcW w:w="4820" w:type="dxa"/>
            <w:vAlign w:val="center"/>
          </w:tcPr>
          <w:p w:rsidR="00C3209F" w:rsidRPr="001D6BD2" w:rsidRDefault="00C3209F" w:rsidP="00C3209F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По.к.з. = 0, если оборачиваемость кредиторской задолженности ˃ 40 (дней);</w:t>
            </w:r>
          </w:p>
          <w:p w:rsidR="00C3209F" w:rsidRPr="001D6BD2" w:rsidRDefault="00C3209F" w:rsidP="00C3209F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По.к.з. = 0, если оборачиваемость кредиторской задолженности ≤ 40 (дней),</w:t>
            </w:r>
            <w:r w:rsidR="001D6BD2">
              <w:t xml:space="preserve"> </w:t>
            </w:r>
            <w:r w:rsidRPr="001D6BD2">
              <w:t>где:</w:t>
            </w:r>
          </w:p>
          <w:p w:rsidR="00440AA1" w:rsidRPr="001D6BD2" w:rsidRDefault="00C3209F" w:rsidP="00C3209F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 xml:space="preserve">По.к.з. - показатель, характеризующий </w:t>
            </w:r>
            <w:r w:rsidRPr="001D6BD2">
              <w:lastRenderedPageBreak/>
              <w:t>оборачиваемость кредиторской задолженности Предприятия, как отношение кредиторской задолженности к выручке от реализации по основному виду деятельности, умноженное на количество дней в отчетном периоде.</w:t>
            </w:r>
          </w:p>
        </w:tc>
        <w:tc>
          <w:tcPr>
            <w:tcW w:w="1275" w:type="dxa"/>
            <w:vAlign w:val="center"/>
          </w:tcPr>
          <w:p w:rsidR="00440AA1" w:rsidRPr="001D6BD2" w:rsidRDefault="00C3209F" w:rsidP="00C3209F">
            <w:pPr>
              <w:pStyle w:val="formattext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1D6BD2">
              <w:rPr>
                <w:shd w:val="clear" w:color="auto" w:fill="FFFFFF"/>
              </w:rPr>
              <w:lastRenderedPageBreak/>
              <w:t>1</w:t>
            </w:r>
          </w:p>
        </w:tc>
      </w:tr>
      <w:tr w:rsidR="00440AA1" w:rsidTr="001D6BD2">
        <w:tc>
          <w:tcPr>
            <w:tcW w:w="4111" w:type="dxa"/>
          </w:tcPr>
          <w:p w:rsidR="00440AA1" w:rsidRPr="001D6BD2" w:rsidRDefault="00440AA1" w:rsidP="007F20B8">
            <w:pPr>
              <w:pStyle w:val="formattext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D6BD2">
              <w:rPr>
                <w:shd w:val="clear" w:color="auto" w:fill="FFFFFF"/>
              </w:rPr>
              <w:lastRenderedPageBreak/>
              <w:t xml:space="preserve">Показатель, характеризующий отсутствие аварийных ситуаций, ликвидированных с нарушением нормативных сроков, установленных законодательством Российской Федерации и нормативно-технической документацией, за отчетный период </w:t>
            </w:r>
          </w:p>
          <w:p w:rsidR="00440AA1" w:rsidRPr="001D6BD2" w:rsidRDefault="001D6BD2" w:rsidP="007F20B8">
            <w:pPr>
              <w:pStyle w:val="formattext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(П</w:t>
            </w:r>
            <w:r w:rsidR="00440AA1" w:rsidRPr="001D6BD2">
              <w:rPr>
                <w:shd w:val="clear" w:color="auto" w:fill="FFFFFF"/>
              </w:rPr>
              <w:t>л.ав.с.)</w:t>
            </w:r>
          </w:p>
        </w:tc>
        <w:tc>
          <w:tcPr>
            <w:tcW w:w="4820" w:type="dxa"/>
            <w:vAlign w:val="center"/>
          </w:tcPr>
          <w:p w:rsidR="00C3209F" w:rsidRPr="001D6BD2" w:rsidRDefault="00C3209F" w:rsidP="001D6BD2">
            <w:pPr>
              <w:pStyle w:val="pc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1D6BD2">
              <w:rPr>
                <w:b/>
                <w:bCs/>
              </w:rPr>
              <w:t>Пл.ав.с. = Кав.нар.ср.,</w:t>
            </w:r>
            <w:r w:rsidR="001D6BD2">
              <w:rPr>
                <w:b/>
                <w:bCs/>
              </w:rPr>
              <w:t xml:space="preserve"> </w:t>
            </w:r>
            <w:r w:rsidRPr="001D6BD2">
              <w:t>где:</w:t>
            </w:r>
          </w:p>
          <w:p w:rsidR="00C3209F" w:rsidRPr="001D6BD2" w:rsidRDefault="00C3209F" w:rsidP="00C3209F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Пл.ав.с. - показатель, характеризующий отсутствие аварийных ситуаций, ликвидированных с нарушением нормативных сроков за отчетный период;</w:t>
            </w:r>
          </w:p>
          <w:p w:rsidR="00C3209F" w:rsidRPr="001D6BD2" w:rsidRDefault="00C3209F" w:rsidP="00C3209F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Кав.нар.ср. - количество аварийных ситуаций, ликвидированных с нарушением нормативных сроков за отчетный период (не учитываются аварийные ситуации, возникновение которых обусловлено обстоятельствами непреодолимой силы).</w:t>
            </w:r>
          </w:p>
          <w:p w:rsidR="00C3209F" w:rsidRPr="001D6BD2" w:rsidRDefault="001D6BD2" w:rsidP="00C3209F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Если Кав.нар.ср. = 0, то Пл.ав.</w:t>
            </w:r>
            <w:r w:rsidR="00C3209F" w:rsidRPr="001D6BD2">
              <w:t>с. = 1.</w:t>
            </w:r>
          </w:p>
          <w:p w:rsidR="00440AA1" w:rsidRPr="001D6BD2" w:rsidRDefault="001D6BD2" w:rsidP="001D6BD2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Если Кав.нар.ср. ≥ 1</w:t>
            </w:r>
            <w:r>
              <w:t>, то Пл.ав.</w:t>
            </w:r>
            <w:r w:rsidRPr="001D6BD2">
              <w:t>с. = 0.</w:t>
            </w:r>
          </w:p>
        </w:tc>
        <w:tc>
          <w:tcPr>
            <w:tcW w:w="1275" w:type="dxa"/>
            <w:vAlign w:val="center"/>
          </w:tcPr>
          <w:p w:rsidR="00440AA1" w:rsidRPr="001D6BD2" w:rsidRDefault="00C3209F" w:rsidP="00C3209F">
            <w:pPr>
              <w:pStyle w:val="formattext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1D6BD2">
              <w:rPr>
                <w:shd w:val="clear" w:color="auto" w:fill="FFFFFF"/>
              </w:rPr>
              <w:t>1</w:t>
            </w:r>
          </w:p>
        </w:tc>
      </w:tr>
      <w:tr w:rsidR="00440AA1" w:rsidTr="001D6BD2">
        <w:tc>
          <w:tcPr>
            <w:tcW w:w="4111" w:type="dxa"/>
          </w:tcPr>
          <w:p w:rsidR="00440AA1" w:rsidRPr="001D6BD2" w:rsidRDefault="00440AA1" w:rsidP="007F20B8">
            <w:pPr>
              <w:pStyle w:val="formattext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D6BD2">
              <w:rPr>
                <w:shd w:val="clear" w:color="auto" w:fill="FFFFFF"/>
              </w:rPr>
              <w:t>Показатель, характеризующий соблюдение предприятием требований к раскрытию информации в соответствии со стандартами раскрытия информации, утвержденными Правите</w:t>
            </w:r>
            <w:r w:rsidR="001D6BD2">
              <w:rPr>
                <w:shd w:val="clear" w:color="auto" w:fill="FFFFFF"/>
              </w:rPr>
              <w:t>льством Российской Федерации (П</w:t>
            </w:r>
            <w:r w:rsidRPr="001D6BD2">
              <w:rPr>
                <w:shd w:val="clear" w:color="auto" w:fill="FFFFFF"/>
              </w:rPr>
              <w:t>станд.)</w:t>
            </w:r>
          </w:p>
        </w:tc>
        <w:tc>
          <w:tcPr>
            <w:tcW w:w="4820" w:type="dxa"/>
            <w:vAlign w:val="center"/>
          </w:tcPr>
          <w:p w:rsidR="001D6BD2" w:rsidRPr="001D6BD2" w:rsidRDefault="001D6BD2" w:rsidP="001D6BD2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Пстанд. = 0, если количество выявленных уполномоченными органами государственного контроля (надзора) в области регулирования цен (тарифов) нарушений стандарта раскрытия информации составляет два и более раз за отчетный период;</w:t>
            </w:r>
          </w:p>
          <w:p w:rsidR="00440AA1" w:rsidRPr="001D6BD2" w:rsidRDefault="001D6BD2" w:rsidP="001D6BD2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Пстанд. = 1, если количество выявленных уполномоченными органами государственного контроля (надзора) в области регулирования цен (тарифов) нарушений стандарта раскрытия информации составляет менее двух раз за отчетный период.</w:t>
            </w:r>
          </w:p>
        </w:tc>
        <w:tc>
          <w:tcPr>
            <w:tcW w:w="1275" w:type="dxa"/>
            <w:vAlign w:val="center"/>
          </w:tcPr>
          <w:p w:rsidR="00440AA1" w:rsidRPr="001D6BD2" w:rsidRDefault="00C3209F" w:rsidP="00C3209F">
            <w:pPr>
              <w:pStyle w:val="formattext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1D6BD2">
              <w:rPr>
                <w:shd w:val="clear" w:color="auto" w:fill="FFFFFF"/>
              </w:rPr>
              <w:t>1</w:t>
            </w:r>
          </w:p>
        </w:tc>
      </w:tr>
      <w:tr w:rsidR="00440AA1" w:rsidTr="001D6BD2">
        <w:tc>
          <w:tcPr>
            <w:tcW w:w="4111" w:type="dxa"/>
          </w:tcPr>
          <w:p w:rsidR="00440AA1" w:rsidRPr="001D6BD2" w:rsidRDefault="00440AA1" w:rsidP="007F20B8">
            <w:pPr>
              <w:pStyle w:val="formattext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D6BD2">
              <w:rPr>
                <w:shd w:val="clear" w:color="auto" w:fill="FFFFFF"/>
              </w:rPr>
              <w:t>Показатель, характеризующий наличие финансовой поддержки предприятия за счет средств Российской Федерации (органов местного самоуправления) на покрытие операционных расходов пред</w:t>
            </w:r>
            <w:r w:rsidR="001D6BD2">
              <w:rPr>
                <w:shd w:val="clear" w:color="auto" w:fill="FFFFFF"/>
              </w:rPr>
              <w:t>приятия за отчетный период (П</w:t>
            </w:r>
            <w:r w:rsidRPr="001D6BD2">
              <w:rPr>
                <w:shd w:val="clear" w:color="auto" w:fill="FFFFFF"/>
              </w:rPr>
              <w:t>ф.подд.), за исключением установленных законодательством Российской Федерации случаев возмещения недополученных доходов, при осуществлении регулируемых видов деятельности предприятием</w:t>
            </w:r>
          </w:p>
        </w:tc>
        <w:tc>
          <w:tcPr>
            <w:tcW w:w="4820" w:type="dxa"/>
            <w:vAlign w:val="center"/>
          </w:tcPr>
          <w:p w:rsidR="001D6BD2" w:rsidRPr="001D6BD2" w:rsidRDefault="001D6BD2" w:rsidP="001D6BD2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Пф.подд. = 0, если за счет средств субъекта Российской Федерации (органа местного самоуправления) в отчетном периоде оказывалась финансовая поддержка Предприятия на покрытие операционных расходов Предприятия два и более раза;</w:t>
            </w:r>
          </w:p>
          <w:p w:rsidR="001D6BD2" w:rsidRPr="001D6BD2" w:rsidRDefault="001D6BD2" w:rsidP="001D6BD2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Пф.подд. = 1, если финансовая поддержка Предприятия на покрытие его операционных расходов за счет средств субъекта Российской Федерации (органа местного самоуправления) в отчетном периоде не оказывалась или оказывалась не более одного раза.</w:t>
            </w:r>
          </w:p>
          <w:p w:rsidR="00440AA1" w:rsidRPr="001D6BD2" w:rsidRDefault="00440AA1" w:rsidP="000D6173">
            <w:pPr>
              <w:pStyle w:val="formattext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440AA1" w:rsidRPr="001D6BD2" w:rsidRDefault="00C3209F" w:rsidP="00C3209F">
            <w:pPr>
              <w:pStyle w:val="formattext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1D6BD2">
              <w:rPr>
                <w:shd w:val="clear" w:color="auto" w:fill="FFFFFF"/>
              </w:rPr>
              <w:t>1</w:t>
            </w:r>
          </w:p>
        </w:tc>
      </w:tr>
      <w:tr w:rsidR="00440AA1" w:rsidTr="001D6BD2">
        <w:tc>
          <w:tcPr>
            <w:tcW w:w="10206" w:type="dxa"/>
            <w:gridSpan w:val="3"/>
          </w:tcPr>
          <w:p w:rsidR="00440AA1" w:rsidRPr="001D6BD2" w:rsidRDefault="00440AA1" w:rsidP="000D6173">
            <w:pPr>
              <w:pStyle w:val="formattext"/>
              <w:spacing w:before="0" w:beforeAutospacing="0" w:after="0" w:afterAutospacing="0"/>
              <w:jc w:val="center"/>
              <w:rPr>
                <w:b/>
                <w:shd w:val="clear" w:color="auto" w:fill="FFFFFF"/>
              </w:rPr>
            </w:pPr>
            <w:r w:rsidRPr="001D6BD2">
              <w:rPr>
                <w:b/>
                <w:shd w:val="clear" w:color="auto" w:fill="FFFFFF"/>
              </w:rPr>
              <w:t>Сфера водоснабжения</w:t>
            </w:r>
          </w:p>
        </w:tc>
      </w:tr>
      <w:tr w:rsidR="001D6BD2" w:rsidRPr="001D6BD2" w:rsidTr="001D6BD2">
        <w:tc>
          <w:tcPr>
            <w:tcW w:w="4111" w:type="dxa"/>
          </w:tcPr>
          <w:p w:rsidR="001D6BD2" w:rsidRPr="001D6BD2" w:rsidRDefault="001D6BD2" w:rsidP="00E43343">
            <w:pPr>
              <w:pStyle w:val="formattext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D6BD2">
              <w:rPr>
                <w:shd w:val="clear" w:color="auto" w:fill="FFFFFF"/>
              </w:rPr>
              <w:t xml:space="preserve">Показатель, характеризующий выполнение плановых показателей надежности, качества и </w:t>
            </w:r>
            <w:r w:rsidRPr="001D6BD2">
              <w:rPr>
                <w:shd w:val="clear" w:color="auto" w:fill="FFFFFF"/>
              </w:rPr>
              <w:lastRenderedPageBreak/>
              <w:t xml:space="preserve">энергетической эффективности в соответствии с законодательством Российской Федерации </w:t>
            </w:r>
            <w:r>
              <w:rPr>
                <w:shd w:val="clear" w:color="auto" w:fill="FFFFFF"/>
              </w:rPr>
              <w:t>за отчетный период (П</w:t>
            </w:r>
            <w:r w:rsidRPr="001D6BD2">
              <w:rPr>
                <w:shd w:val="clear" w:color="auto" w:fill="FFFFFF"/>
              </w:rPr>
              <w:t>кач.)</w:t>
            </w:r>
          </w:p>
        </w:tc>
        <w:tc>
          <w:tcPr>
            <w:tcW w:w="4820" w:type="dxa"/>
            <w:vAlign w:val="center"/>
          </w:tcPr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lastRenderedPageBreak/>
              <w:t xml:space="preserve">а) при наличии производственной и (или) инвестиционной программы Предприятия, содержащей показатели надежности, </w:t>
            </w:r>
            <w:r w:rsidRPr="001D6BD2">
              <w:lastRenderedPageBreak/>
              <w:t>качества и энергетической эффективности:</w:t>
            </w:r>
          </w:p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Пкач. = 0, если в ходе реализации производственной и (или) инвестиционной программы Предприятия не достигнуты показатели надежности, качества и энергетической э</w:t>
            </w:r>
            <w:r>
              <w:t>ффективности за отчетный период;</w:t>
            </w:r>
          </w:p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Пкач. = 1, если в ходе реализации производственной и (или) инвестиционной программы Предприятия достигнуты показатели надежности, качества и энергетической эффективности за отчетный период;</w:t>
            </w:r>
          </w:p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б) при отсутствии инвестиционной программы Предприятия либо в случае, если инвестиционная и (или) производственная программа Предприятия не содержит показатели надежности, качества и энергетической эффективности:</w:t>
            </w:r>
          </w:p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Пкач. = 0, если количество не исполненных в срок предписаний уполномоченного надзорного органа о несоблюдении установленных требований к качеству превышает одно предписание;</w:t>
            </w:r>
          </w:p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Пкач. = 1, если количество не исполненных в срок предписаний уполномоченного надзорного органа о несоблюдении установленных требований к качеству не превышает одного предписания.</w:t>
            </w:r>
          </w:p>
        </w:tc>
        <w:tc>
          <w:tcPr>
            <w:tcW w:w="1275" w:type="dxa"/>
            <w:vAlign w:val="center"/>
          </w:tcPr>
          <w:p w:rsidR="001D6BD2" w:rsidRPr="001D6BD2" w:rsidRDefault="001D6BD2" w:rsidP="00E43343">
            <w:pPr>
              <w:pStyle w:val="formattext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1D6BD2">
              <w:rPr>
                <w:shd w:val="clear" w:color="auto" w:fill="FFFFFF"/>
              </w:rPr>
              <w:lastRenderedPageBreak/>
              <w:t>1</w:t>
            </w:r>
          </w:p>
        </w:tc>
      </w:tr>
      <w:tr w:rsidR="001D6BD2" w:rsidRPr="001D6BD2" w:rsidTr="001D6BD2">
        <w:tc>
          <w:tcPr>
            <w:tcW w:w="4111" w:type="dxa"/>
          </w:tcPr>
          <w:p w:rsidR="001D6BD2" w:rsidRPr="001D6BD2" w:rsidRDefault="001D6BD2" w:rsidP="00E43343">
            <w:pPr>
              <w:pStyle w:val="formattext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D6BD2">
              <w:rPr>
                <w:shd w:val="clear" w:color="auto" w:fill="FFFFFF"/>
              </w:rPr>
              <w:lastRenderedPageBreak/>
              <w:t>Показатель, характеризующий наличие нецелевого использова</w:t>
            </w:r>
            <w:r>
              <w:rPr>
                <w:shd w:val="clear" w:color="auto" w:fill="FFFFFF"/>
              </w:rPr>
              <w:t>ния бюджетных средств (П</w:t>
            </w:r>
            <w:r w:rsidRPr="001D6BD2">
              <w:rPr>
                <w:shd w:val="clear" w:color="auto" w:fill="FFFFFF"/>
              </w:rPr>
              <w:t>нецелев.)</w:t>
            </w:r>
          </w:p>
        </w:tc>
        <w:tc>
          <w:tcPr>
            <w:tcW w:w="4820" w:type="dxa"/>
            <w:vAlign w:val="center"/>
          </w:tcPr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Пнецелев. = 1, если проверка целевого использования бюджетных средств, проведенная в отчетный год, не выявила нецелевое использование бюджетных средств за отчетный год;</w:t>
            </w:r>
          </w:p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Пнецелев. = 0, если проверка целевого использования бюджетных средств, проведенная в отчетный год, выявила нецелевое использование бюджетных средств за отчетный год.</w:t>
            </w:r>
          </w:p>
        </w:tc>
        <w:tc>
          <w:tcPr>
            <w:tcW w:w="1275" w:type="dxa"/>
            <w:vAlign w:val="center"/>
          </w:tcPr>
          <w:p w:rsidR="001D6BD2" w:rsidRPr="001D6BD2" w:rsidRDefault="001D6BD2" w:rsidP="00E43343">
            <w:pPr>
              <w:pStyle w:val="formattext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1D6BD2">
              <w:rPr>
                <w:shd w:val="clear" w:color="auto" w:fill="FFFFFF"/>
              </w:rPr>
              <w:t>1</w:t>
            </w:r>
          </w:p>
        </w:tc>
      </w:tr>
      <w:tr w:rsidR="001D6BD2" w:rsidRPr="001D6BD2" w:rsidTr="001D6BD2">
        <w:tc>
          <w:tcPr>
            <w:tcW w:w="4111" w:type="dxa"/>
          </w:tcPr>
          <w:p w:rsidR="001D6BD2" w:rsidRPr="001D6BD2" w:rsidRDefault="001D6BD2" w:rsidP="00E43343">
            <w:pPr>
              <w:pStyle w:val="formattext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D6BD2">
              <w:rPr>
                <w:shd w:val="clear" w:color="auto" w:fill="FFFFFF"/>
              </w:rPr>
              <w:t>Показатель, характеризующий соблюдение установленных в соответствии с законодательством Российской Федерации сроков рассмотрения жалоб от заявителей на ненадлежащее качество усл</w:t>
            </w:r>
            <w:r>
              <w:rPr>
                <w:shd w:val="clear" w:color="auto" w:fill="FFFFFF"/>
              </w:rPr>
              <w:t>уг, оказываемых предприятием (П</w:t>
            </w:r>
            <w:r w:rsidRPr="001D6BD2">
              <w:rPr>
                <w:shd w:val="clear" w:color="auto" w:fill="FFFFFF"/>
              </w:rPr>
              <w:t>обр.)</w:t>
            </w:r>
          </w:p>
        </w:tc>
        <w:tc>
          <w:tcPr>
            <w:tcW w:w="4820" w:type="dxa"/>
            <w:vAlign w:val="center"/>
          </w:tcPr>
          <w:p w:rsidR="001D6BD2" w:rsidRPr="001D6BD2" w:rsidRDefault="001D6BD2" w:rsidP="00E43343">
            <w:pPr>
              <w:pStyle w:val="pc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1D6BD2">
              <w:rPr>
                <w:b/>
                <w:bCs/>
              </w:rPr>
              <w:t>Побр. = Nобр.нар.ср.,</w:t>
            </w:r>
            <w:r>
              <w:rPr>
                <w:b/>
                <w:bCs/>
              </w:rPr>
              <w:t xml:space="preserve"> </w:t>
            </w:r>
            <w:r w:rsidRPr="001D6BD2">
              <w:t>где:</w:t>
            </w:r>
          </w:p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Побр. - показатель соблюдения установленных сроков рассмотрения жалоб от заявителей на ненадлежащее качество услуг, оказываемых Предприятиями.</w:t>
            </w:r>
          </w:p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 xml:space="preserve">Nобр.нар.ср. - число жалоб потребителей услуг на ненадлежащее качество услуг, по которым Предприятиями в соответствующий отчетный период направлен ответ потребителю с нарушением сроков, установленных в соответствии с нормативными актами, стандартами обслуживания клиентов указанных </w:t>
            </w:r>
            <w:r w:rsidRPr="001D6BD2">
              <w:lastRenderedPageBreak/>
              <w:t>Предприятий, организационно-распорядительными документами (шт.).</w:t>
            </w:r>
          </w:p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Если Nобр.нар.ср.= О, то Побр. = 1.</w:t>
            </w:r>
          </w:p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Если Nобр.нар.ср .≥ 1, то Побр. = 0.</w:t>
            </w:r>
          </w:p>
        </w:tc>
        <w:tc>
          <w:tcPr>
            <w:tcW w:w="1275" w:type="dxa"/>
            <w:vAlign w:val="center"/>
          </w:tcPr>
          <w:p w:rsidR="001D6BD2" w:rsidRPr="001D6BD2" w:rsidRDefault="001D6BD2" w:rsidP="00E43343">
            <w:pPr>
              <w:pStyle w:val="formattext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1D6BD2">
              <w:rPr>
                <w:shd w:val="clear" w:color="auto" w:fill="FFFFFF"/>
              </w:rPr>
              <w:lastRenderedPageBreak/>
              <w:t>1</w:t>
            </w:r>
          </w:p>
        </w:tc>
      </w:tr>
      <w:tr w:rsidR="001D6BD2" w:rsidRPr="001D6BD2" w:rsidTr="001D6BD2">
        <w:tc>
          <w:tcPr>
            <w:tcW w:w="4111" w:type="dxa"/>
          </w:tcPr>
          <w:p w:rsidR="001D6BD2" w:rsidRPr="001D6BD2" w:rsidRDefault="001D6BD2" w:rsidP="00E43343">
            <w:pPr>
              <w:pStyle w:val="formattext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D6BD2">
              <w:rPr>
                <w:shd w:val="clear" w:color="auto" w:fill="FFFFFF"/>
              </w:rPr>
              <w:lastRenderedPageBreak/>
              <w:t xml:space="preserve">Показатель, характеризующий оборачиваемость кредиторской </w:t>
            </w:r>
            <w:r>
              <w:rPr>
                <w:shd w:val="clear" w:color="auto" w:fill="FFFFFF"/>
              </w:rPr>
              <w:t>задолженности предприятия (П</w:t>
            </w:r>
            <w:r w:rsidRPr="001D6BD2">
              <w:rPr>
                <w:shd w:val="clear" w:color="auto" w:fill="FFFFFF"/>
              </w:rPr>
              <w:t>о.к.з.)</w:t>
            </w:r>
          </w:p>
        </w:tc>
        <w:tc>
          <w:tcPr>
            <w:tcW w:w="4820" w:type="dxa"/>
            <w:vAlign w:val="center"/>
          </w:tcPr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По.к.з. = 0, если оборачиваемость кредиторской задолженности ˃ 40 (дней);</w:t>
            </w:r>
          </w:p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По.к.з. = 0, если оборачиваемость кредиторской задолженности ≤ 40 (дней),</w:t>
            </w:r>
            <w:r>
              <w:t xml:space="preserve"> </w:t>
            </w:r>
            <w:r w:rsidRPr="001D6BD2">
              <w:t>где:</w:t>
            </w:r>
          </w:p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По.к.з. - показатель, характеризующий оборачиваемость кредиторской задолженности Предприятия, как отношение кредиторской задолженности к выручке от реализации по основному виду деятельности, умноженное на количество дней в отчетном периоде.</w:t>
            </w:r>
          </w:p>
        </w:tc>
        <w:tc>
          <w:tcPr>
            <w:tcW w:w="1275" w:type="dxa"/>
            <w:vAlign w:val="center"/>
          </w:tcPr>
          <w:p w:rsidR="001D6BD2" w:rsidRPr="001D6BD2" w:rsidRDefault="001D6BD2" w:rsidP="00E43343">
            <w:pPr>
              <w:pStyle w:val="formattext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1D6BD2">
              <w:rPr>
                <w:shd w:val="clear" w:color="auto" w:fill="FFFFFF"/>
              </w:rPr>
              <w:t>1</w:t>
            </w:r>
          </w:p>
        </w:tc>
      </w:tr>
      <w:tr w:rsidR="001D6BD2" w:rsidRPr="001D6BD2" w:rsidTr="001D6BD2">
        <w:tc>
          <w:tcPr>
            <w:tcW w:w="4111" w:type="dxa"/>
          </w:tcPr>
          <w:p w:rsidR="001D6BD2" w:rsidRPr="001D6BD2" w:rsidRDefault="001D6BD2" w:rsidP="00E43343">
            <w:pPr>
              <w:pStyle w:val="formattext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D6BD2">
              <w:rPr>
                <w:shd w:val="clear" w:color="auto" w:fill="FFFFFF"/>
              </w:rPr>
              <w:t xml:space="preserve">Показатель, характеризующий отсутствие аварийных ситуаций, ликвидированных с нарушением нормативных сроков, установленных законодательством Российской Федерации и нормативно-технической документацией, за отчетный период </w:t>
            </w:r>
          </w:p>
          <w:p w:rsidR="001D6BD2" w:rsidRPr="001D6BD2" w:rsidRDefault="001D6BD2" w:rsidP="00E43343">
            <w:pPr>
              <w:pStyle w:val="formattext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(П</w:t>
            </w:r>
            <w:r w:rsidRPr="001D6BD2">
              <w:rPr>
                <w:shd w:val="clear" w:color="auto" w:fill="FFFFFF"/>
              </w:rPr>
              <w:t>л.ав.с.)</w:t>
            </w:r>
          </w:p>
        </w:tc>
        <w:tc>
          <w:tcPr>
            <w:tcW w:w="4820" w:type="dxa"/>
            <w:vAlign w:val="center"/>
          </w:tcPr>
          <w:p w:rsidR="001D6BD2" w:rsidRPr="001D6BD2" w:rsidRDefault="001D6BD2" w:rsidP="00E43343">
            <w:pPr>
              <w:pStyle w:val="pc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1D6BD2">
              <w:rPr>
                <w:b/>
                <w:bCs/>
              </w:rPr>
              <w:t>Пл.ав.с. = Кав.нар.ср.,</w:t>
            </w:r>
            <w:r>
              <w:rPr>
                <w:b/>
                <w:bCs/>
              </w:rPr>
              <w:t xml:space="preserve"> </w:t>
            </w:r>
            <w:r w:rsidRPr="001D6BD2">
              <w:t>где:</w:t>
            </w:r>
          </w:p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Пл.ав.с. - показатель, характеризующий отсутствие аварийных ситуаций, ликвидированных с нарушением нормативных сроков за отчетный период;</w:t>
            </w:r>
          </w:p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Кав.нар.ср. - количество аварийных ситуаций, ликвидированных с нарушением нормативных сроков за отчетный период (не учитываются аварийные ситуации, возникновение которых обусловлено обстоятельствами непреодолимой силы).</w:t>
            </w:r>
          </w:p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Если Кав.нар.ср. = 0, то Пл.ав.</w:t>
            </w:r>
            <w:r w:rsidRPr="001D6BD2">
              <w:t>с. = 1.</w:t>
            </w:r>
          </w:p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Если Кав.нар.ср. ≥ 1</w:t>
            </w:r>
            <w:r>
              <w:t>, то Пл.ав.</w:t>
            </w:r>
            <w:r w:rsidRPr="001D6BD2">
              <w:t>с. = 0.</w:t>
            </w:r>
          </w:p>
        </w:tc>
        <w:tc>
          <w:tcPr>
            <w:tcW w:w="1275" w:type="dxa"/>
            <w:vAlign w:val="center"/>
          </w:tcPr>
          <w:p w:rsidR="001D6BD2" w:rsidRPr="001D6BD2" w:rsidRDefault="001D6BD2" w:rsidP="00E43343">
            <w:pPr>
              <w:pStyle w:val="formattext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1D6BD2">
              <w:rPr>
                <w:shd w:val="clear" w:color="auto" w:fill="FFFFFF"/>
              </w:rPr>
              <w:t>1</w:t>
            </w:r>
          </w:p>
        </w:tc>
      </w:tr>
      <w:tr w:rsidR="001D6BD2" w:rsidRPr="001D6BD2" w:rsidTr="001D6BD2">
        <w:tc>
          <w:tcPr>
            <w:tcW w:w="4111" w:type="dxa"/>
          </w:tcPr>
          <w:p w:rsidR="001D6BD2" w:rsidRPr="001D6BD2" w:rsidRDefault="001D6BD2" w:rsidP="00E43343">
            <w:pPr>
              <w:pStyle w:val="formattext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D6BD2">
              <w:rPr>
                <w:shd w:val="clear" w:color="auto" w:fill="FFFFFF"/>
              </w:rPr>
              <w:t>Показатель, характеризующий соблюдение предприятием требований к раскрытию информации в соответствии со стандартами раскрытия информации, утвержденными Правительством Российской Федерации (П станд.)</w:t>
            </w:r>
          </w:p>
        </w:tc>
        <w:tc>
          <w:tcPr>
            <w:tcW w:w="4820" w:type="dxa"/>
            <w:vAlign w:val="center"/>
          </w:tcPr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Пстанд. = 0, если количество выявленных уполномоченными органами государственного контроля (надзора) в области регулирования цен (тарифов) нарушений стандарта раскрытия информации составляет два и более раз за отчетный период;</w:t>
            </w:r>
          </w:p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Пстанд. = 1, если количество выявленных уполномоченными органами государственного контроля (надзора) в области регулирования цен (тарифов) нарушений стандарта раскрытия информации составляет менее двух раз за отчетный период.</w:t>
            </w:r>
          </w:p>
        </w:tc>
        <w:tc>
          <w:tcPr>
            <w:tcW w:w="1275" w:type="dxa"/>
            <w:vAlign w:val="center"/>
          </w:tcPr>
          <w:p w:rsidR="001D6BD2" w:rsidRPr="001D6BD2" w:rsidRDefault="001D6BD2" w:rsidP="00E43343">
            <w:pPr>
              <w:pStyle w:val="formattext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1D6BD2">
              <w:rPr>
                <w:shd w:val="clear" w:color="auto" w:fill="FFFFFF"/>
              </w:rPr>
              <w:t>1</w:t>
            </w:r>
          </w:p>
        </w:tc>
      </w:tr>
      <w:tr w:rsidR="001D6BD2" w:rsidRPr="001D6BD2" w:rsidTr="001D6BD2">
        <w:tc>
          <w:tcPr>
            <w:tcW w:w="4111" w:type="dxa"/>
          </w:tcPr>
          <w:p w:rsidR="001D6BD2" w:rsidRPr="001D6BD2" w:rsidRDefault="001D6BD2" w:rsidP="00E43343">
            <w:pPr>
              <w:pStyle w:val="formattext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D6BD2">
              <w:rPr>
                <w:shd w:val="clear" w:color="auto" w:fill="FFFFFF"/>
              </w:rPr>
              <w:t>Показатель, характеризующий наличие финансовой поддержки предприятия за счет средств Российской Федерации (органов местного самоуправления) на покрытие операционных расходов пред</w:t>
            </w:r>
            <w:r>
              <w:rPr>
                <w:shd w:val="clear" w:color="auto" w:fill="FFFFFF"/>
              </w:rPr>
              <w:t>приятия за отчетный период (П</w:t>
            </w:r>
            <w:r w:rsidRPr="001D6BD2">
              <w:rPr>
                <w:shd w:val="clear" w:color="auto" w:fill="FFFFFF"/>
              </w:rPr>
              <w:t xml:space="preserve">ф.подд.), за исключением </w:t>
            </w:r>
            <w:r w:rsidRPr="001D6BD2">
              <w:rPr>
                <w:shd w:val="clear" w:color="auto" w:fill="FFFFFF"/>
              </w:rPr>
              <w:lastRenderedPageBreak/>
              <w:t>установленных законодательством Российской Федерации случаев возмещения недополученных доходов, при осуществлении регулируемых видов деятельности предприятием</w:t>
            </w:r>
          </w:p>
        </w:tc>
        <w:tc>
          <w:tcPr>
            <w:tcW w:w="4820" w:type="dxa"/>
            <w:vAlign w:val="center"/>
          </w:tcPr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lastRenderedPageBreak/>
              <w:t>Пф.подд. = 0, если за счет средств субъекта Российской Федерации (органа местного самоуправления) в отчетном периоде оказывалась финансовая поддержка Предприятия на покрытие операционных расходов Предприятия два и более раза;</w:t>
            </w:r>
          </w:p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 xml:space="preserve">Пф.подд. = 1, если финансовая поддержка Предприятия на покрытие его </w:t>
            </w:r>
            <w:r w:rsidRPr="001D6BD2">
              <w:lastRenderedPageBreak/>
              <w:t>операционных расходов за счет средств субъекта Российской Федерации (органа местного самоуправления) в отчетном периоде не оказывалась или оказывалась не более одного раза.</w:t>
            </w:r>
          </w:p>
          <w:p w:rsidR="001D6BD2" w:rsidRPr="001D6BD2" w:rsidRDefault="001D6BD2" w:rsidP="00E43343">
            <w:pPr>
              <w:pStyle w:val="formattext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1D6BD2" w:rsidRPr="001D6BD2" w:rsidRDefault="001D6BD2" w:rsidP="00E43343">
            <w:pPr>
              <w:pStyle w:val="formattext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1D6BD2">
              <w:rPr>
                <w:shd w:val="clear" w:color="auto" w:fill="FFFFFF"/>
              </w:rPr>
              <w:lastRenderedPageBreak/>
              <w:t>1</w:t>
            </w:r>
          </w:p>
        </w:tc>
      </w:tr>
      <w:tr w:rsidR="001D6BD2" w:rsidRPr="001D6BD2" w:rsidTr="001D6BD2">
        <w:tc>
          <w:tcPr>
            <w:tcW w:w="10206" w:type="dxa"/>
            <w:gridSpan w:val="3"/>
          </w:tcPr>
          <w:p w:rsidR="001D6BD2" w:rsidRPr="001D6BD2" w:rsidRDefault="001D6BD2" w:rsidP="001D6BD2">
            <w:pPr>
              <w:pStyle w:val="formattext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1D6BD2">
              <w:rPr>
                <w:b/>
                <w:shd w:val="clear" w:color="auto" w:fill="FFFFFF"/>
              </w:rPr>
              <w:lastRenderedPageBreak/>
              <w:t>Сфера во</w:t>
            </w:r>
            <w:r>
              <w:rPr>
                <w:b/>
                <w:shd w:val="clear" w:color="auto" w:fill="FFFFFF"/>
              </w:rPr>
              <w:t>доотведения</w:t>
            </w:r>
          </w:p>
        </w:tc>
      </w:tr>
      <w:tr w:rsidR="001D6BD2" w:rsidRPr="001D6BD2" w:rsidTr="001D6BD2">
        <w:tc>
          <w:tcPr>
            <w:tcW w:w="4111" w:type="dxa"/>
          </w:tcPr>
          <w:p w:rsidR="001D6BD2" w:rsidRPr="001D6BD2" w:rsidRDefault="001D6BD2" w:rsidP="00E43343">
            <w:pPr>
              <w:pStyle w:val="formattext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D6BD2">
              <w:rPr>
                <w:shd w:val="clear" w:color="auto" w:fill="FFFFFF"/>
              </w:rPr>
              <w:t xml:space="preserve">Показатель, характеризующий выполнение плановых показателей надежности, качества и энергетической эффективности в соответствии с законодательством Российской Федерации </w:t>
            </w:r>
            <w:r>
              <w:rPr>
                <w:shd w:val="clear" w:color="auto" w:fill="FFFFFF"/>
              </w:rPr>
              <w:t>за отчетный период (П</w:t>
            </w:r>
            <w:r w:rsidRPr="001D6BD2">
              <w:rPr>
                <w:shd w:val="clear" w:color="auto" w:fill="FFFFFF"/>
              </w:rPr>
              <w:t>кач.)</w:t>
            </w:r>
          </w:p>
        </w:tc>
        <w:tc>
          <w:tcPr>
            <w:tcW w:w="4820" w:type="dxa"/>
            <w:vAlign w:val="center"/>
          </w:tcPr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а) при наличии производственной и (или) инвестиционной программы Предприятия, содержащей показатели надежности, качества и энергетической эффективности:</w:t>
            </w:r>
          </w:p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Пкач. = 0, если в ходе реализации производственной и (или) инвестиционной программы Предприятия не достигнуты показатели надежности, качества и энергетической э</w:t>
            </w:r>
            <w:r>
              <w:t>ффективности за отчетный период;</w:t>
            </w:r>
          </w:p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Пкач. = 1, если в ходе реализации производственной и (или) инвестиционной программы Предприятия достигнуты показатели надежности, качества и энергетической эффективности за отчетный период;</w:t>
            </w:r>
          </w:p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б) при отсутствии инвестиционной программы Предприятия либо в случае, если инвестиционная и (или) производственная программа Предприятия не содержит показатели надежности, качества и энергетической эффективности:</w:t>
            </w:r>
          </w:p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Пкач. = 0, если количество не исполненных в срок предписаний уполномоченного надзорного органа о несоблюдении установленных требований к качеству превышает одно предписание;</w:t>
            </w:r>
          </w:p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Пкач. = 1, если количество не исполненных в срок предписаний уполномоченного надзорного органа о несоблюдении установленных требований к качеству не превышает одного предписания.</w:t>
            </w:r>
          </w:p>
        </w:tc>
        <w:tc>
          <w:tcPr>
            <w:tcW w:w="1275" w:type="dxa"/>
            <w:vAlign w:val="center"/>
          </w:tcPr>
          <w:p w:rsidR="001D6BD2" w:rsidRPr="001D6BD2" w:rsidRDefault="001D6BD2" w:rsidP="00E43343">
            <w:pPr>
              <w:pStyle w:val="formattext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1D6BD2">
              <w:rPr>
                <w:shd w:val="clear" w:color="auto" w:fill="FFFFFF"/>
              </w:rPr>
              <w:t>1</w:t>
            </w:r>
          </w:p>
        </w:tc>
      </w:tr>
      <w:tr w:rsidR="001D6BD2" w:rsidRPr="001D6BD2" w:rsidTr="001D6BD2">
        <w:tc>
          <w:tcPr>
            <w:tcW w:w="4111" w:type="dxa"/>
          </w:tcPr>
          <w:p w:rsidR="001D6BD2" w:rsidRPr="001D6BD2" w:rsidRDefault="001D6BD2" w:rsidP="00E43343">
            <w:pPr>
              <w:pStyle w:val="formattext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D6BD2">
              <w:rPr>
                <w:shd w:val="clear" w:color="auto" w:fill="FFFFFF"/>
              </w:rPr>
              <w:t>Показатель, характеризующий наличие нецелевого использова</w:t>
            </w:r>
            <w:r>
              <w:rPr>
                <w:shd w:val="clear" w:color="auto" w:fill="FFFFFF"/>
              </w:rPr>
              <w:t>ния бюджетных средств (П</w:t>
            </w:r>
            <w:r w:rsidRPr="001D6BD2">
              <w:rPr>
                <w:shd w:val="clear" w:color="auto" w:fill="FFFFFF"/>
              </w:rPr>
              <w:t>нецелев.)</w:t>
            </w:r>
          </w:p>
        </w:tc>
        <w:tc>
          <w:tcPr>
            <w:tcW w:w="4820" w:type="dxa"/>
            <w:vAlign w:val="center"/>
          </w:tcPr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Пнецелев. = 1, если проверка целевого использования бюджетных средств, проведенная в отчетный год, не выявила нецелевое использование бюджетных средств за отчетный год;</w:t>
            </w:r>
          </w:p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Пнецелев. = 0, если проверка целевого использования бюджетных средств, проведенная в отчетный год, выявила нецелевое использование бюджетных средств за отчетный год.</w:t>
            </w:r>
          </w:p>
        </w:tc>
        <w:tc>
          <w:tcPr>
            <w:tcW w:w="1275" w:type="dxa"/>
            <w:vAlign w:val="center"/>
          </w:tcPr>
          <w:p w:rsidR="001D6BD2" w:rsidRPr="001D6BD2" w:rsidRDefault="001D6BD2" w:rsidP="00E43343">
            <w:pPr>
              <w:pStyle w:val="formattext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1D6BD2">
              <w:rPr>
                <w:shd w:val="clear" w:color="auto" w:fill="FFFFFF"/>
              </w:rPr>
              <w:t>1</w:t>
            </w:r>
          </w:p>
        </w:tc>
      </w:tr>
      <w:tr w:rsidR="001D6BD2" w:rsidRPr="001D6BD2" w:rsidTr="001D6BD2">
        <w:tc>
          <w:tcPr>
            <w:tcW w:w="4111" w:type="dxa"/>
          </w:tcPr>
          <w:p w:rsidR="001D6BD2" w:rsidRPr="001D6BD2" w:rsidRDefault="001D6BD2" w:rsidP="00E43343">
            <w:pPr>
              <w:pStyle w:val="formattext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D6BD2">
              <w:rPr>
                <w:shd w:val="clear" w:color="auto" w:fill="FFFFFF"/>
              </w:rPr>
              <w:t xml:space="preserve">Показатель, характеризующий соблюдение установленных в </w:t>
            </w:r>
            <w:r w:rsidRPr="001D6BD2">
              <w:rPr>
                <w:shd w:val="clear" w:color="auto" w:fill="FFFFFF"/>
              </w:rPr>
              <w:lastRenderedPageBreak/>
              <w:t>соответствии с законодательством Российской Федерации сроков рассмотрения жалоб от заявителей на ненадлежащее качество усл</w:t>
            </w:r>
            <w:r>
              <w:rPr>
                <w:shd w:val="clear" w:color="auto" w:fill="FFFFFF"/>
              </w:rPr>
              <w:t>уг, оказываемых предприятием (П</w:t>
            </w:r>
            <w:r w:rsidRPr="001D6BD2">
              <w:rPr>
                <w:shd w:val="clear" w:color="auto" w:fill="FFFFFF"/>
              </w:rPr>
              <w:t>обр.)</w:t>
            </w:r>
          </w:p>
        </w:tc>
        <w:tc>
          <w:tcPr>
            <w:tcW w:w="4820" w:type="dxa"/>
            <w:vAlign w:val="center"/>
          </w:tcPr>
          <w:p w:rsidR="001D6BD2" w:rsidRPr="001D6BD2" w:rsidRDefault="001D6BD2" w:rsidP="00E43343">
            <w:pPr>
              <w:pStyle w:val="pc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1D6BD2">
              <w:rPr>
                <w:b/>
                <w:bCs/>
              </w:rPr>
              <w:lastRenderedPageBreak/>
              <w:t>Побр. = Nобр.нар.ср.,</w:t>
            </w:r>
            <w:r>
              <w:rPr>
                <w:b/>
                <w:bCs/>
              </w:rPr>
              <w:t xml:space="preserve"> </w:t>
            </w:r>
            <w:r w:rsidRPr="001D6BD2">
              <w:t>где:</w:t>
            </w:r>
          </w:p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 xml:space="preserve">Побр. - показатель соблюдения </w:t>
            </w:r>
            <w:r w:rsidRPr="001D6BD2">
              <w:lastRenderedPageBreak/>
              <w:t>установленных сроков рассмотрения жалоб от заявителей на ненадлежащее качество услуг, оказываемых Предприятиями.</w:t>
            </w:r>
          </w:p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Nобр.нар.ср. - число жалоб потребителей услуг на ненадлежащее качество услуг, по которым Предприятиями в соответствующий отчетный период направлен ответ потребителю с нарушением сроков, установленных в соответствии с нормативными актами, стандартами обслуживания клиентов указанных Предприятий, организационно-распорядительными документами (шт.).</w:t>
            </w:r>
          </w:p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Если Nобр.нар.ср.= О, то Побр. = 1.</w:t>
            </w:r>
          </w:p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Если Nобр.нар.ср .≥ 1, то Побр. = 0.</w:t>
            </w:r>
          </w:p>
        </w:tc>
        <w:tc>
          <w:tcPr>
            <w:tcW w:w="1275" w:type="dxa"/>
            <w:vAlign w:val="center"/>
          </w:tcPr>
          <w:p w:rsidR="001D6BD2" w:rsidRPr="001D6BD2" w:rsidRDefault="001D6BD2" w:rsidP="00E43343">
            <w:pPr>
              <w:pStyle w:val="formattext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1D6BD2">
              <w:rPr>
                <w:shd w:val="clear" w:color="auto" w:fill="FFFFFF"/>
              </w:rPr>
              <w:lastRenderedPageBreak/>
              <w:t>1</w:t>
            </w:r>
          </w:p>
        </w:tc>
      </w:tr>
      <w:tr w:rsidR="001D6BD2" w:rsidRPr="001D6BD2" w:rsidTr="001D6BD2">
        <w:tc>
          <w:tcPr>
            <w:tcW w:w="4111" w:type="dxa"/>
          </w:tcPr>
          <w:p w:rsidR="001D6BD2" w:rsidRPr="001D6BD2" w:rsidRDefault="001D6BD2" w:rsidP="00E43343">
            <w:pPr>
              <w:pStyle w:val="formattext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D6BD2">
              <w:rPr>
                <w:shd w:val="clear" w:color="auto" w:fill="FFFFFF"/>
              </w:rPr>
              <w:lastRenderedPageBreak/>
              <w:t>Показатель, характеризующий оборачиваемость кредиторск</w:t>
            </w:r>
            <w:r>
              <w:rPr>
                <w:shd w:val="clear" w:color="auto" w:fill="FFFFFF"/>
              </w:rPr>
              <w:t>ой задолженности предприятия (П</w:t>
            </w:r>
            <w:r w:rsidRPr="001D6BD2">
              <w:rPr>
                <w:shd w:val="clear" w:color="auto" w:fill="FFFFFF"/>
              </w:rPr>
              <w:t>о.к.з.)</w:t>
            </w:r>
          </w:p>
        </w:tc>
        <w:tc>
          <w:tcPr>
            <w:tcW w:w="4820" w:type="dxa"/>
            <w:vAlign w:val="center"/>
          </w:tcPr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По.к.з. = 0, если оборачиваемость кредиторской задолженности ˃ 40 (дней);</w:t>
            </w:r>
          </w:p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По.к.з. = 0, если оборачиваемость кредиторской задолженности ≤ 40 (дней),</w:t>
            </w:r>
            <w:r>
              <w:t xml:space="preserve"> </w:t>
            </w:r>
            <w:r w:rsidRPr="001D6BD2">
              <w:t>где:</w:t>
            </w:r>
          </w:p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По.к.з. - показатель, характеризующий оборачиваемость кредиторской задолженности Предприятия, как отношение кредиторской задолженности к выручке от реализации по основному виду деятельности, умноженное на количество дней в отчетном периоде.</w:t>
            </w:r>
          </w:p>
        </w:tc>
        <w:tc>
          <w:tcPr>
            <w:tcW w:w="1275" w:type="dxa"/>
            <w:vAlign w:val="center"/>
          </w:tcPr>
          <w:p w:rsidR="001D6BD2" w:rsidRPr="001D6BD2" w:rsidRDefault="001D6BD2" w:rsidP="00E43343">
            <w:pPr>
              <w:pStyle w:val="formattext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1D6BD2">
              <w:rPr>
                <w:shd w:val="clear" w:color="auto" w:fill="FFFFFF"/>
              </w:rPr>
              <w:t>1</w:t>
            </w:r>
          </w:p>
        </w:tc>
      </w:tr>
      <w:tr w:rsidR="001D6BD2" w:rsidRPr="001D6BD2" w:rsidTr="001D6BD2">
        <w:tc>
          <w:tcPr>
            <w:tcW w:w="4111" w:type="dxa"/>
          </w:tcPr>
          <w:p w:rsidR="001D6BD2" w:rsidRPr="001D6BD2" w:rsidRDefault="001D6BD2" w:rsidP="00E43343">
            <w:pPr>
              <w:pStyle w:val="formattext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D6BD2">
              <w:rPr>
                <w:shd w:val="clear" w:color="auto" w:fill="FFFFFF"/>
              </w:rPr>
              <w:t xml:space="preserve">Показатель, характеризующий отсутствие аварийных ситуаций, ликвидированных с нарушением нормативных сроков, установленных законодательством Российской Федерации и нормативно-технической документацией, за отчетный период </w:t>
            </w:r>
          </w:p>
          <w:p w:rsidR="001D6BD2" w:rsidRPr="001D6BD2" w:rsidRDefault="001D6BD2" w:rsidP="00E43343">
            <w:pPr>
              <w:pStyle w:val="formattext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(П</w:t>
            </w:r>
            <w:r w:rsidRPr="001D6BD2">
              <w:rPr>
                <w:shd w:val="clear" w:color="auto" w:fill="FFFFFF"/>
              </w:rPr>
              <w:t>л.ав.с.)</w:t>
            </w:r>
          </w:p>
        </w:tc>
        <w:tc>
          <w:tcPr>
            <w:tcW w:w="4820" w:type="dxa"/>
            <w:vAlign w:val="center"/>
          </w:tcPr>
          <w:p w:rsidR="001D6BD2" w:rsidRPr="001D6BD2" w:rsidRDefault="001D6BD2" w:rsidP="00E43343">
            <w:pPr>
              <w:pStyle w:val="pc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1D6BD2">
              <w:rPr>
                <w:b/>
                <w:bCs/>
              </w:rPr>
              <w:t>Пл.ав.с. = Кав.нар.ср.,</w:t>
            </w:r>
            <w:r>
              <w:rPr>
                <w:b/>
                <w:bCs/>
              </w:rPr>
              <w:t xml:space="preserve"> </w:t>
            </w:r>
            <w:r w:rsidRPr="001D6BD2">
              <w:t>где:</w:t>
            </w:r>
          </w:p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Пл.ав.с. - показатель, характеризующий отсутствие аварийных ситуаций, ликвидированных с нарушением нормативных сроков за отчетный период;</w:t>
            </w:r>
          </w:p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Кав.нар.ср. - количество аварийных ситуаций, ликвидированных с нарушением нормативных сроков за отчетный период (не учитываются аварийные ситуации, возникновение которых обусловлено обстоятельствами непреодолимой силы).</w:t>
            </w:r>
          </w:p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Е</w:t>
            </w:r>
            <w:r>
              <w:t>сли Кав.нар.ср. = 0, то Пл.ав.</w:t>
            </w:r>
            <w:r w:rsidRPr="001D6BD2">
              <w:t>с. = 1.</w:t>
            </w:r>
          </w:p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Если Кав.нар.ср. ≥ 1</w:t>
            </w:r>
            <w:r>
              <w:t>, то Пл.ав.</w:t>
            </w:r>
            <w:r w:rsidRPr="001D6BD2">
              <w:t>с. = 0.</w:t>
            </w:r>
          </w:p>
        </w:tc>
        <w:tc>
          <w:tcPr>
            <w:tcW w:w="1275" w:type="dxa"/>
            <w:vAlign w:val="center"/>
          </w:tcPr>
          <w:p w:rsidR="001D6BD2" w:rsidRPr="001D6BD2" w:rsidRDefault="001D6BD2" w:rsidP="00E43343">
            <w:pPr>
              <w:pStyle w:val="formattext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1D6BD2">
              <w:rPr>
                <w:shd w:val="clear" w:color="auto" w:fill="FFFFFF"/>
              </w:rPr>
              <w:t>1</w:t>
            </w:r>
          </w:p>
        </w:tc>
      </w:tr>
      <w:tr w:rsidR="001D6BD2" w:rsidRPr="001D6BD2" w:rsidTr="001D6BD2">
        <w:tc>
          <w:tcPr>
            <w:tcW w:w="4111" w:type="dxa"/>
          </w:tcPr>
          <w:p w:rsidR="001D6BD2" w:rsidRPr="001D6BD2" w:rsidRDefault="001D6BD2" w:rsidP="00E43343">
            <w:pPr>
              <w:pStyle w:val="formattext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D6BD2">
              <w:rPr>
                <w:shd w:val="clear" w:color="auto" w:fill="FFFFFF"/>
              </w:rPr>
              <w:t>Показатель, характеризующий соблюдение предприятием требований к раскрытию информации в соответствии со стандартами раскрытия информации, утвержденными Правите</w:t>
            </w:r>
            <w:r>
              <w:rPr>
                <w:shd w:val="clear" w:color="auto" w:fill="FFFFFF"/>
              </w:rPr>
              <w:t>льством Российской Федерации (П</w:t>
            </w:r>
            <w:r w:rsidRPr="001D6BD2">
              <w:rPr>
                <w:shd w:val="clear" w:color="auto" w:fill="FFFFFF"/>
              </w:rPr>
              <w:t>станд.)</w:t>
            </w:r>
          </w:p>
        </w:tc>
        <w:tc>
          <w:tcPr>
            <w:tcW w:w="4820" w:type="dxa"/>
            <w:vAlign w:val="center"/>
          </w:tcPr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Пстанд. = 0, если количество выявленных уполномоченными органами государственного контроля (надзора) в области регулирования цен (тарифов) нарушений стандарта раскрытия информации составляет два и более раз за отчетный период;</w:t>
            </w:r>
          </w:p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 xml:space="preserve">Пстанд. = 1, если количество выявленных уполномоченными органами государственного контроля (надзора) в области регулирования цен (тарифов) нарушений стандарта раскрытия </w:t>
            </w:r>
            <w:r w:rsidRPr="001D6BD2">
              <w:lastRenderedPageBreak/>
              <w:t>информации составляет менее двух раз за отчетный период.</w:t>
            </w:r>
          </w:p>
        </w:tc>
        <w:tc>
          <w:tcPr>
            <w:tcW w:w="1275" w:type="dxa"/>
            <w:vAlign w:val="center"/>
          </w:tcPr>
          <w:p w:rsidR="001D6BD2" w:rsidRPr="001D6BD2" w:rsidRDefault="001D6BD2" w:rsidP="00E43343">
            <w:pPr>
              <w:pStyle w:val="formattext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1D6BD2">
              <w:rPr>
                <w:shd w:val="clear" w:color="auto" w:fill="FFFFFF"/>
              </w:rPr>
              <w:lastRenderedPageBreak/>
              <w:t>1</w:t>
            </w:r>
          </w:p>
        </w:tc>
      </w:tr>
      <w:tr w:rsidR="001D6BD2" w:rsidRPr="001D6BD2" w:rsidTr="001D6BD2">
        <w:tc>
          <w:tcPr>
            <w:tcW w:w="4111" w:type="dxa"/>
          </w:tcPr>
          <w:p w:rsidR="001D6BD2" w:rsidRPr="001D6BD2" w:rsidRDefault="001D6BD2" w:rsidP="00E43343">
            <w:pPr>
              <w:pStyle w:val="formattext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D6BD2">
              <w:rPr>
                <w:shd w:val="clear" w:color="auto" w:fill="FFFFFF"/>
              </w:rPr>
              <w:lastRenderedPageBreak/>
              <w:t>Показатель, характеризующий наличие финансовой поддержки предприятия за счет средств Российской Федерации (органов местного самоуправления) на покрытие операционных расходов пред</w:t>
            </w:r>
            <w:r>
              <w:rPr>
                <w:shd w:val="clear" w:color="auto" w:fill="FFFFFF"/>
              </w:rPr>
              <w:t>приятия за отчетный период (П</w:t>
            </w:r>
            <w:r w:rsidRPr="001D6BD2">
              <w:rPr>
                <w:shd w:val="clear" w:color="auto" w:fill="FFFFFF"/>
              </w:rPr>
              <w:t>ф.подд.), за исключением установленных законодательством Российской Федерации случаев возмещения недополученных доходов, при осуществлении регулируемых видов деятельности предприятием</w:t>
            </w:r>
          </w:p>
        </w:tc>
        <w:tc>
          <w:tcPr>
            <w:tcW w:w="4820" w:type="dxa"/>
            <w:vAlign w:val="center"/>
          </w:tcPr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Пф.подд. = 0, если за счет средств субъекта Российской Федерации (органа местного самоуправления) в отчетном периоде оказывалась финансовая поддержка Предприятия на покрытие операционных расходов Предприятия два и более раза;</w:t>
            </w:r>
          </w:p>
          <w:p w:rsidR="001D6BD2" w:rsidRPr="001D6BD2" w:rsidRDefault="001D6BD2" w:rsidP="00E4334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D6BD2">
              <w:t>Пф.подд. = 1, если финансовая поддержка Предприятия на покрытие его операционных расходов за счет средств субъекта Российской Федерации (органа местного самоуправления) в отчетном периоде не оказывалась или оказывалась не более одного раза.</w:t>
            </w:r>
          </w:p>
          <w:p w:rsidR="001D6BD2" w:rsidRPr="001D6BD2" w:rsidRDefault="001D6BD2" w:rsidP="00E43343">
            <w:pPr>
              <w:pStyle w:val="formattext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1D6BD2" w:rsidRPr="001D6BD2" w:rsidRDefault="001D6BD2" w:rsidP="00E43343">
            <w:pPr>
              <w:pStyle w:val="formattext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1D6BD2">
              <w:rPr>
                <w:shd w:val="clear" w:color="auto" w:fill="FFFFFF"/>
              </w:rPr>
              <w:t>1</w:t>
            </w:r>
          </w:p>
        </w:tc>
      </w:tr>
    </w:tbl>
    <w:p w:rsidR="00EF1548" w:rsidRDefault="00EF1548" w:rsidP="00F53E3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04714" w:rsidRDefault="00F53E39" w:rsidP="00F53E3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A1A3C" w:rsidRPr="00F53E39">
        <w:rPr>
          <w:sz w:val="28"/>
          <w:szCs w:val="28"/>
        </w:rPr>
        <w:t>Расчет итогового показателя эффективности управления предприятием</w:t>
      </w:r>
      <w:r w:rsidR="00204714">
        <w:rPr>
          <w:sz w:val="28"/>
          <w:szCs w:val="28"/>
        </w:rPr>
        <w:t>:</w:t>
      </w:r>
    </w:p>
    <w:p w:rsidR="00204714" w:rsidRPr="00A355DD" w:rsidRDefault="00204714" w:rsidP="00F53E3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A355DD">
        <w:rPr>
          <w:i/>
          <w:sz w:val="28"/>
          <w:szCs w:val="28"/>
        </w:rPr>
        <w:t>1) сфера теплоснабжения</w:t>
      </w:r>
      <w:r w:rsidR="00A355DD">
        <w:rPr>
          <w:i/>
          <w:sz w:val="28"/>
          <w:szCs w:val="28"/>
        </w:rPr>
        <w:t>:</w:t>
      </w:r>
    </w:p>
    <w:p w:rsidR="005E6F4E" w:rsidRDefault="005E6F4E" w:rsidP="00F53E3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04714" w:rsidRDefault="00431829" w:rsidP="00F53E3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u w:val="single"/>
        </w:rPr>
      </w:pPr>
      <w:r>
        <w:rPr>
          <w:sz w:val="28"/>
          <w:szCs w:val="28"/>
        </w:rPr>
        <w:t>П</w:t>
      </w:r>
      <w:r w:rsidRPr="00431829">
        <w:t>итог.</w:t>
      </w:r>
      <w:r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кач.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нецелев.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обр.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о.к.з.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л.ав.с.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станд.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ф.подд.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1+1+1+1+1+1+1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=1</m:t>
        </m:r>
      </m:oMath>
    </w:p>
    <w:p w:rsidR="005E6F4E" w:rsidRDefault="005E6F4E" w:rsidP="00F53E3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04714" w:rsidRPr="00A355DD" w:rsidRDefault="005E6F4E" w:rsidP="00F53E3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A355DD">
        <w:rPr>
          <w:i/>
          <w:sz w:val="28"/>
          <w:szCs w:val="28"/>
        </w:rPr>
        <w:t>2) сфера водоснабжения</w:t>
      </w:r>
      <w:r w:rsidR="00A355DD">
        <w:rPr>
          <w:i/>
          <w:sz w:val="28"/>
          <w:szCs w:val="28"/>
        </w:rPr>
        <w:t>:</w:t>
      </w:r>
    </w:p>
    <w:p w:rsidR="005E6F4E" w:rsidRDefault="005E6F4E" w:rsidP="005E6F4E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5E6F4E" w:rsidRDefault="005E6F4E" w:rsidP="005E6F4E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u w:val="single"/>
        </w:rPr>
      </w:pPr>
      <w:r>
        <w:rPr>
          <w:sz w:val="28"/>
          <w:szCs w:val="28"/>
        </w:rPr>
        <w:t>П</w:t>
      </w:r>
      <w:r w:rsidRPr="00431829">
        <w:t>итог.</w:t>
      </w:r>
      <w:r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кач.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нецелев.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обр.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о.к.з.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л.ав.с.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станд.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ф.подд.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1+1+1+1+1+1+1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=1</m:t>
        </m:r>
      </m:oMath>
    </w:p>
    <w:p w:rsidR="00204714" w:rsidRDefault="00204714" w:rsidP="00F53E3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04714" w:rsidRPr="00A355DD" w:rsidRDefault="005E6F4E" w:rsidP="00F53E3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A355DD">
        <w:rPr>
          <w:i/>
          <w:sz w:val="28"/>
          <w:szCs w:val="28"/>
        </w:rPr>
        <w:t>3) сфера водоотведения</w:t>
      </w:r>
      <w:r w:rsidR="00A355DD">
        <w:rPr>
          <w:i/>
          <w:sz w:val="28"/>
          <w:szCs w:val="28"/>
        </w:rPr>
        <w:t>:</w:t>
      </w:r>
    </w:p>
    <w:p w:rsidR="005E6F4E" w:rsidRDefault="005E6F4E" w:rsidP="00F53E3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5E6F4E" w:rsidRDefault="005E6F4E" w:rsidP="005E6F4E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u w:val="single"/>
        </w:rPr>
      </w:pPr>
      <w:r>
        <w:rPr>
          <w:sz w:val="28"/>
          <w:szCs w:val="28"/>
        </w:rPr>
        <w:t>П</w:t>
      </w:r>
      <w:r w:rsidRPr="00431829">
        <w:t>итог.</w:t>
      </w:r>
      <w:r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кач.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нецелев.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обр.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о.к.з.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л.ав.с.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станд.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ф.подд.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1+1+1+1+1+1+1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=1</m:t>
        </m:r>
      </m:oMath>
    </w:p>
    <w:p w:rsidR="005E6F4E" w:rsidRDefault="005E6F4E" w:rsidP="00CA3991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5A1A3C" w:rsidRPr="00F53E39" w:rsidRDefault="00076AB6" w:rsidP="00CA3991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="005A1A3C" w:rsidRPr="00F53E39">
        <w:rPr>
          <w:sz w:val="28"/>
          <w:szCs w:val="28"/>
        </w:rPr>
        <w:t>оказатель считается исполненным, если Пi = 1.</w:t>
      </w:r>
    </w:p>
    <w:p w:rsidR="005A1A3C" w:rsidRDefault="00076AB6" w:rsidP="00CA3991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="005A1A3C" w:rsidRPr="00F53E39">
        <w:rPr>
          <w:sz w:val="28"/>
          <w:szCs w:val="28"/>
        </w:rPr>
        <w:t>оказатель считается неисполненным, если Пi = 0.</w:t>
      </w:r>
    </w:p>
    <w:p w:rsidR="00C917C0" w:rsidRPr="00F53E39" w:rsidRDefault="00C917C0" w:rsidP="00CA3991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53E39" w:rsidRPr="00F53E39" w:rsidRDefault="00F53E39" w:rsidP="00F53E3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53E39">
        <w:rPr>
          <w:sz w:val="28"/>
          <w:szCs w:val="28"/>
        </w:rPr>
        <w:t xml:space="preserve">4. Оценка эффективности </w:t>
      </w:r>
      <w:r w:rsidRPr="00F53E39">
        <w:rPr>
          <w:sz w:val="28"/>
          <w:szCs w:val="28"/>
          <w:shd w:val="clear" w:color="auto" w:fill="FFFFFF"/>
        </w:rPr>
        <w:t>управления предприятием проводится на основании следующих критериев, утвержденных Приказ от 7 июля 2014 года № 373/пр/428:</w:t>
      </w:r>
    </w:p>
    <w:p w:rsidR="00F53E39" w:rsidRPr="00F53E39" w:rsidRDefault="00F53E39" w:rsidP="00F53E3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53E39">
        <w:rPr>
          <w:sz w:val="28"/>
          <w:szCs w:val="28"/>
        </w:rPr>
        <w:t xml:space="preserve">от 1 до 0,8 баллов - эффективное управление </w:t>
      </w:r>
      <w:r w:rsidR="00076AB6">
        <w:rPr>
          <w:sz w:val="28"/>
          <w:szCs w:val="28"/>
        </w:rPr>
        <w:t>п</w:t>
      </w:r>
      <w:r w:rsidRPr="00F53E39">
        <w:rPr>
          <w:sz w:val="28"/>
          <w:szCs w:val="28"/>
        </w:rPr>
        <w:t>редприятием;</w:t>
      </w:r>
    </w:p>
    <w:p w:rsidR="00F53E39" w:rsidRPr="00F53E39" w:rsidRDefault="00F53E39" w:rsidP="00F53E3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53E39">
        <w:rPr>
          <w:sz w:val="28"/>
          <w:szCs w:val="28"/>
        </w:rPr>
        <w:t xml:space="preserve">от 0,8 до 0,6 баллов - достаточно эффективное управление </w:t>
      </w:r>
      <w:r w:rsidR="00076AB6">
        <w:rPr>
          <w:sz w:val="28"/>
          <w:szCs w:val="28"/>
        </w:rPr>
        <w:t>п</w:t>
      </w:r>
      <w:r w:rsidRPr="00F53E39">
        <w:rPr>
          <w:sz w:val="28"/>
          <w:szCs w:val="28"/>
        </w:rPr>
        <w:t>редприятием;</w:t>
      </w:r>
    </w:p>
    <w:p w:rsidR="00F53E39" w:rsidRPr="00F53E39" w:rsidRDefault="00F53E39" w:rsidP="00F53E3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53E39">
        <w:rPr>
          <w:sz w:val="28"/>
          <w:szCs w:val="28"/>
        </w:rPr>
        <w:t xml:space="preserve">от 0,6 до 0,4 баллов - условно-эффективное управление </w:t>
      </w:r>
      <w:r w:rsidR="00076AB6">
        <w:rPr>
          <w:sz w:val="28"/>
          <w:szCs w:val="28"/>
        </w:rPr>
        <w:t>п</w:t>
      </w:r>
      <w:r w:rsidRPr="00F53E39">
        <w:rPr>
          <w:sz w:val="28"/>
          <w:szCs w:val="28"/>
        </w:rPr>
        <w:t>редприятием с необходимостью совершенствования по отдельным направлениям деятельности;</w:t>
      </w:r>
    </w:p>
    <w:p w:rsidR="00F53E39" w:rsidRPr="00F53E39" w:rsidRDefault="00F53E39" w:rsidP="00F53E3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53E39">
        <w:rPr>
          <w:sz w:val="28"/>
          <w:szCs w:val="28"/>
        </w:rPr>
        <w:t xml:space="preserve">от 0,4 до 0,2 баллов - низкий уровень эффективности управления </w:t>
      </w:r>
      <w:r w:rsidR="00076AB6">
        <w:rPr>
          <w:sz w:val="28"/>
          <w:szCs w:val="28"/>
        </w:rPr>
        <w:t>п</w:t>
      </w:r>
      <w:r w:rsidRPr="00F53E39">
        <w:rPr>
          <w:sz w:val="28"/>
          <w:szCs w:val="28"/>
        </w:rPr>
        <w:t>редприятием;</w:t>
      </w:r>
    </w:p>
    <w:p w:rsidR="00F53E39" w:rsidRPr="00F53E39" w:rsidRDefault="00F53E39" w:rsidP="00F53E3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53E39">
        <w:rPr>
          <w:sz w:val="28"/>
          <w:szCs w:val="28"/>
        </w:rPr>
        <w:t xml:space="preserve">ниже 0,2 баллов - неэффективное управление </w:t>
      </w:r>
      <w:r w:rsidR="00076AB6">
        <w:rPr>
          <w:sz w:val="28"/>
          <w:szCs w:val="28"/>
        </w:rPr>
        <w:t>п</w:t>
      </w:r>
      <w:r w:rsidRPr="00F53E39">
        <w:rPr>
          <w:sz w:val="28"/>
          <w:szCs w:val="28"/>
        </w:rPr>
        <w:t>редприятием.</w:t>
      </w:r>
    </w:p>
    <w:p w:rsidR="005E6F4E" w:rsidRDefault="005E6F4E" w:rsidP="00F53E39">
      <w:pPr>
        <w:pStyle w:val="formattext"/>
        <w:spacing w:before="0" w:beforeAutospacing="0" w:after="0" w:afterAutospacing="0"/>
        <w:ind w:firstLine="709"/>
        <w:jc w:val="both"/>
        <w:rPr>
          <w:rStyle w:val="ab"/>
          <w:b w:val="0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Исходя из этого</w:t>
      </w:r>
      <w:r w:rsidR="00F53E39">
        <w:rPr>
          <w:sz w:val="28"/>
          <w:szCs w:val="28"/>
        </w:rPr>
        <w:t xml:space="preserve">, управление </w:t>
      </w:r>
      <w:r w:rsidR="00CA3991">
        <w:rPr>
          <w:sz w:val="28"/>
          <w:szCs w:val="28"/>
        </w:rPr>
        <w:t>муниципальным унитарным</w:t>
      </w:r>
      <w:r w:rsidR="00F53E39">
        <w:rPr>
          <w:sz w:val="28"/>
          <w:szCs w:val="28"/>
        </w:rPr>
        <w:t xml:space="preserve"> </w:t>
      </w:r>
      <w:r w:rsidR="00F53E39">
        <w:rPr>
          <w:color w:val="000000"/>
          <w:sz w:val="28"/>
          <w:szCs w:val="28"/>
          <w:shd w:val="clear" w:color="auto" w:fill="FFFFFF"/>
        </w:rPr>
        <w:t>предприятие</w:t>
      </w:r>
      <w:r w:rsidR="00CA3991">
        <w:rPr>
          <w:color w:val="000000"/>
          <w:sz w:val="28"/>
          <w:szCs w:val="28"/>
          <w:shd w:val="clear" w:color="auto" w:fill="FFFFFF"/>
        </w:rPr>
        <w:t>м</w:t>
      </w:r>
      <w:r w:rsidR="00F53E39">
        <w:rPr>
          <w:color w:val="000000"/>
          <w:sz w:val="28"/>
          <w:szCs w:val="28"/>
          <w:shd w:val="clear" w:color="auto" w:fill="FFFFFF"/>
        </w:rPr>
        <w:t xml:space="preserve"> </w:t>
      </w:r>
      <w:r w:rsidR="00F53E39">
        <w:rPr>
          <w:rStyle w:val="ab"/>
          <w:b w:val="0"/>
          <w:color w:val="000000"/>
          <w:sz w:val="28"/>
          <w:szCs w:val="28"/>
          <w:shd w:val="clear" w:color="auto" w:fill="FFFFFF"/>
        </w:rPr>
        <w:t>«ТеплоЭнергоРесурс» Кардымовского района</w:t>
      </w:r>
      <w:r w:rsidR="00CA3991">
        <w:rPr>
          <w:rStyle w:val="ab"/>
          <w:b w:val="0"/>
          <w:color w:val="000000"/>
          <w:sz w:val="28"/>
          <w:szCs w:val="28"/>
          <w:shd w:val="clear" w:color="auto" w:fill="FFFFFF"/>
        </w:rPr>
        <w:t xml:space="preserve"> оценивается </w:t>
      </w:r>
      <w:r>
        <w:rPr>
          <w:rStyle w:val="ab"/>
          <w:b w:val="0"/>
          <w:color w:val="000000"/>
          <w:sz w:val="28"/>
          <w:szCs w:val="28"/>
          <w:shd w:val="clear" w:color="auto" w:fill="FFFFFF"/>
        </w:rPr>
        <w:t>следующим образом:</w:t>
      </w:r>
    </w:p>
    <w:p w:rsidR="00F53E39" w:rsidRDefault="005E6F4E" w:rsidP="00F53E39">
      <w:pPr>
        <w:pStyle w:val="formattext"/>
        <w:spacing w:before="0" w:beforeAutospacing="0" w:after="0" w:afterAutospacing="0"/>
        <w:ind w:firstLine="709"/>
        <w:jc w:val="both"/>
        <w:rPr>
          <w:rStyle w:val="ab"/>
          <w:b w:val="0"/>
          <w:color w:val="000000"/>
          <w:sz w:val="28"/>
          <w:szCs w:val="28"/>
          <w:shd w:val="clear" w:color="auto" w:fill="FFFFFF"/>
        </w:rPr>
      </w:pPr>
      <w:r>
        <w:rPr>
          <w:rStyle w:val="ab"/>
          <w:b w:val="0"/>
          <w:color w:val="000000"/>
          <w:sz w:val="28"/>
          <w:szCs w:val="28"/>
          <w:shd w:val="clear" w:color="auto" w:fill="FFFFFF"/>
        </w:rPr>
        <w:t>1)</w:t>
      </w:r>
      <w:r w:rsidRPr="005E6F4E">
        <w:rPr>
          <w:sz w:val="28"/>
          <w:szCs w:val="28"/>
        </w:rPr>
        <w:t xml:space="preserve"> </w:t>
      </w:r>
      <w:r w:rsidR="00A355DD">
        <w:rPr>
          <w:sz w:val="28"/>
          <w:szCs w:val="28"/>
        </w:rPr>
        <w:t xml:space="preserve">в </w:t>
      </w:r>
      <w:r>
        <w:rPr>
          <w:sz w:val="28"/>
          <w:szCs w:val="28"/>
        </w:rPr>
        <w:t>сфер</w:t>
      </w:r>
      <w:r w:rsidR="00A355DD">
        <w:rPr>
          <w:sz w:val="28"/>
          <w:szCs w:val="28"/>
        </w:rPr>
        <w:t>е</w:t>
      </w:r>
      <w:r>
        <w:rPr>
          <w:sz w:val="28"/>
          <w:szCs w:val="28"/>
        </w:rPr>
        <w:t xml:space="preserve"> теплоснабжения – эффективное управление;</w:t>
      </w:r>
    </w:p>
    <w:p w:rsidR="005E6F4E" w:rsidRDefault="005E6F4E" w:rsidP="005E6F4E">
      <w:pPr>
        <w:pStyle w:val="formattext"/>
        <w:spacing w:before="0" w:beforeAutospacing="0" w:after="0" w:afterAutospacing="0"/>
        <w:ind w:firstLine="709"/>
        <w:jc w:val="both"/>
        <w:rPr>
          <w:rStyle w:val="ab"/>
          <w:b w:val="0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2)</w:t>
      </w:r>
      <w:r w:rsidR="00A355DD">
        <w:rPr>
          <w:sz w:val="28"/>
          <w:szCs w:val="28"/>
        </w:rPr>
        <w:t xml:space="preserve">в </w:t>
      </w:r>
      <w:r>
        <w:rPr>
          <w:sz w:val="28"/>
          <w:szCs w:val="28"/>
        </w:rPr>
        <w:t>сфер</w:t>
      </w:r>
      <w:r w:rsidR="00A355DD">
        <w:rPr>
          <w:sz w:val="28"/>
          <w:szCs w:val="28"/>
        </w:rPr>
        <w:t>е</w:t>
      </w:r>
      <w:r>
        <w:rPr>
          <w:sz w:val="28"/>
          <w:szCs w:val="28"/>
        </w:rPr>
        <w:t xml:space="preserve"> водоснабжения</w:t>
      </w:r>
      <w:r w:rsidR="00A355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A355DD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эффективное управление;</w:t>
      </w:r>
    </w:p>
    <w:p w:rsidR="005E6F4E" w:rsidRDefault="005E6F4E" w:rsidP="005E6F4E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355DD">
        <w:rPr>
          <w:sz w:val="28"/>
          <w:szCs w:val="28"/>
        </w:rPr>
        <w:t xml:space="preserve">в </w:t>
      </w:r>
      <w:r>
        <w:rPr>
          <w:sz w:val="28"/>
          <w:szCs w:val="28"/>
        </w:rPr>
        <w:t>сфер</w:t>
      </w:r>
      <w:r w:rsidR="00A355DD">
        <w:rPr>
          <w:sz w:val="28"/>
          <w:szCs w:val="28"/>
        </w:rPr>
        <w:t>е</w:t>
      </w:r>
      <w:r>
        <w:rPr>
          <w:sz w:val="28"/>
          <w:szCs w:val="28"/>
        </w:rPr>
        <w:t xml:space="preserve"> водоотведения</w:t>
      </w:r>
      <w:r w:rsidR="00A355DD">
        <w:rPr>
          <w:sz w:val="28"/>
          <w:szCs w:val="28"/>
        </w:rPr>
        <w:t xml:space="preserve"> </w:t>
      </w:r>
      <w:r>
        <w:rPr>
          <w:sz w:val="28"/>
          <w:szCs w:val="28"/>
        </w:rPr>
        <w:t>– эффективное управление.</w:t>
      </w:r>
    </w:p>
    <w:p w:rsidR="005E6F4E" w:rsidRDefault="00F75B20" w:rsidP="00076AB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b"/>
          <w:b w:val="0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Оценка эффективности управления </w:t>
      </w:r>
      <w:r>
        <w:rPr>
          <w:rStyle w:val="ab"/>
          <w:b w:val="0"/>
          <w:color w:val="000000"/>
          <w:sz w:val="28"/>
          <w:szCs w:val="28"/>
          <w:shd w:val="clear" w:color="auto" w:fill="FFFFFF"/>
        </w:rPr>
        <w:t>по дополнительным критериям, рекомендованным Деп</w:t>
      </w:r>
      <w:r w:rsidR="00C42BCA">
        <w:rPr>
          <w:rStyle w:val="ab"/>
          <w:b w:val="0"/>
          <w:color w:val="000000"/>
          <w:sz w:val="28"/>
          <w:szCs w:val="28"/>
          <w:shd w:val="clear" w:color="auto" w:fill="FFFFFF"/>
        </w:rPr>
        <w:t xml:space="preserve">артаментом </w:t>
      </w:r>
      <w:r w:rsidR="00C42BCA">
        <w:rPr>
          <w:color w:val="000000"/>
          <w:sz w:val="28"/>
          <w:szCs w:val="28"/>
        </w:rPr>
        <w:t>Смоленской области по строительству и жилищно-коммунальному хозяйству</w:t>
      </w:r>
      <w:r w:rsidR="00C42BCA">
        <w:rPr>
          <w:rStyle w:val="ab"/>
          <w:b w:val="0"/>
          <w:color w:val="000000"/>
          <w:sz w:val="28"/>
          <w:szCs w:val="28"/>
          <w:shd w:val="clear" w:color="auto" w:fill="FFFFFF"/>
        </w:rPr>
        <w:t>, не проводилась, так</w:t>
      </w:r>
      <w:r>
        <w:rPr>
          <w:rStyle w:val="ab"/>
          <w:b w:val="0"/>
          <w:color w:val="000000"/>
          <w:sz w:val="28"/>
          <w:szCs w:val="28"/>
          <w:shd w:val="clear" w:color="auto" w:fill="FFFFFF"/>
        </w:rPr>
        <w:t xml:space="preserve"> как деятельность </w:t>
      </w:r>
      <w:r>
        <w:rPr>
          <w:sz w:val="28"/>
          <w:szCs w:val="28"/>
        </w:rPr>
        <w:t xml:space="preserve">муниципального унитарного </w:t>
      </w:r>
      <w:r>
        <w:rPr>
          <w:color w:val="000000"/>
          <w:sz w:val="28"/>
          <w:szCs w:val="28"/>
          <w:shd w:val="clear" w:color="auto" w:fill="FFFFFF"/>
        </w:rPr>
        <w:t xml:space="preserve">предприятия </w:t>
      </w:r>
      <w:r>
        <w:rPr>
          <w:rStyle w:val="ab"/>
          <w:b w:val="0"/>
          <w:color w:val="000000"/>
          <w:sz w:val="28"/>
          <w:szCs w:val="28"/>
          <w:shd w:val="clear" w:color="auto" w:fill="FFFFFF"/>
        </w:rPr>
        <w:t>«ТеплоЭнергоРесурс» Кардымовского района</w:t>
      </w:r>
      <w:r w:rsidR="00C42BCA">
        <w:rPr>
          <w:rStyle w:val="ab"/>
          <w:b w:val="0"/>
          <w:color w:val="000000"/>
          <w:sz w:val="28"/>
          <w:szCs w:val="28"/>
          <w:shd w:val="clear" w:color="auto" w:fill="FFFFFF"/>
        </w:rPr>
        <w:t xml:space="preserve"> осуществлялась менее чем 3 года.</w:t>
      </w:r>
    </w:p>
    <w:p w:rsidR="00DB55D3" w:rsidRDefault="00DB55D3" w:rsidP="00807E57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Style w:val="ab"/>
          <w:b w:val="0"/>
          <w:color w:val="000000"/>
          <w:sz w:val="28"/>
          <w:szCs w:val="28"/>
          <w:shd w:val="clear" w:color="auto" w:fill="FFFFFF"/>
        </w:rPr>
      </w:pPr>
    </w:p>
    <w:p w:rsidR="00D90426" w:rsidRDefault="00DB55D3" w:rsidP="00807E5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2225B">
        <w:rPr>
          <w:rFonts w:ascii="Times New Roman" w:hAnsi="Times New Roman" w:cs="Times New Roman"/>
          <w:sz w:val="28"/>
          <w:szCs w:val="28"/>
        </w:rPr>
        <w:t>асчет</w:t>
      </w:r>
      <w:r>
        <w:rPr>
          <w:rFonts w:ascii="Times New Roman" w:hAnsi="Times New Roman" w:cs="Times New Roman"/>
          <w:sz w:val="28"/>
          <w:szCs w:val="28"/>
        </w:rPr>
        <w:t xml:space="preserve"> произве</w:t>
      </w:r>
      <w:r w:rsidR="00D90426">
        <w:rPr>
          <w:rFonts w:ascii="Times New Roman" w:hAnsi="Times New Roman" w:cs="Times New Roman"/>
          <w:sz w:val="28"/>
          <w:szCs w:val="28"/>
        </w:rPr>
        <w:t>л:</w:t>
      </w:r>
    </w:p>
    <w:p w:rsidR="0082155C" w:rsidRDefault="0082155C" w:rsidP="00807E5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D90426" w:rsidRDefault="00557B84" w:rsidP="00807E5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B55D3" w:rsidRPr="00D90426">
        <w:rPr>
          <w:rFonts w:ascii="Times New Roman" w:hAnsi="Times New Roman" w:cs="Times New Roman"/>
          <w:sz w:val="28"/>
          <w:szCs w:val="28"/>
        </w:rPr>
        <w:t>едущий специалист отдела экономики,</w:t>
      </w:r>
    </w:p>
    <w:p w:rsidR="00DB55D3" w:rsidRPr="00D90426" w:rsidRDefault="00DB55D3" w:rsidP="00807E5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0426">
        <w:rPr>
          <w:rFonts w:ascii="Times New Roman" w:hAnsi="Times New Roman" w:cs="Times New Roman"/>
          <w:sz w:val="28"/>
          <w:szCs w:val="28"/>
        </w:rPr>
        <w:t>инвестиций, имущественных отношений</w:t>
      </w:r>
      <w:r w:rsidR="00D90426">
        <w:rPr>
          <w:rFonts w:ascii="Times New Roman" w:hAnsi="Times New Roman" w:cs="Times New Roman"/>
          <w:sz w:val="28"/>
          <w:szCs w:val="28"/>
        </w:rPr>
        <w:t xml:space="preserve">  _________</w:t>
      </w:r>
      <w:r w:rsidR="006E41A0">
        <w:rPr>
          <w:rFonts w:ascii="Times New Roman" w:hAnsi="Times New Roman" w:cs="Times New Roman"/>
          <w:sz w:val="28"/>
          <w:szCs w:val="28"/>
        </w:rPr>
        <w:t>________          О.В. Харлашина</w:t>
      </w:r>
    </w:p>
    <w:p w:rsidR="00671375" w:rsidRDefault="00671375" w:rsidP="00DB55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375" w:rsidRDefault="00671375" w:rsidP="006713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E41A0">
        <w:rPr>
          <w:rFonts w:ascii="Times New Roman" w:hAnsi="Times New Roman" w:cs="Times New Roman"/>
          <w:sz w:val="28"/>
          <w:szCs w:val="28"/>
        </w:rPr>
        <w:t xml:space="preserve">                              18 июня</w:t>
      </w:r>
      <w:r w:rsidRPr="00A2225B">
        <w:rPr>
          <w:rFonts w:ascii="Times New Roman" w:hAnsi="Times New Roman" w:cs="Times New Roman"/>
          <w:sz w:val="28"/>
          <w:szCs w:val="28"/>
        </w:rPr>
        <w:t xml:space="preserve"> 20</w:t>
      </w:r>
      <w:r w:rsidR="006E41A0">
        <w:rPr>
          <w:rFonts w:ascii="Times New Roman" w:hAnsi="Times New Roman" w:cs="Times New Roman"/>
          <w:sz w:val="28"/>
          <w:szCs w:val="28"/>
        </w:rPr>
        <w:t>20</w:t>
      </w:r>
      <w:r w:rsidRPr="00A2225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71375" w:rsidRDefault="00671375" w:rsidP="00DB55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375" w:rsidRDefault="00671375" w:rsidP="00DB55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5D3" w:rsidRPr="00F53E39" w:rsidRDefault="00DB55D3" w:rsidP="00076AB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sectPr w:rsidR="00DB55D3" w:rsidRPr="00F53E39" w:rsidSect="009056AB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5ED" w:rsidRDefault="009B35ED" w:rsidP="00C85489">
      <w:pPr>
        <w:spacing w:after="0" w:line="240" w:lineRule="auto"/>
      </w:pPr>
      <w:r>
        <w:separator/>
      </w:r>
    </w:p>
  </w:endnote>
  <w:endnote w:type="continuationSeparator" w:id="1">
    <w:p w:rsidR="009B35ED" w:rsidRDefault="009B35ED" w:rsidP="00C8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9E7" w:rsidRPr="007919E7" w:rsidRDefault="007919E7">
    <w:pPr>
      <w:pStyle w:val="a9"/>
      <w:rPr>
        <w:sz w:val="16"/>
      </w:rPr>
    </w:pPr>
    <w:r>
      <w:rPr>
        <w:sz w:val="16"/>
      </w:rPr>
      <w:t>Рег. № 00327 от 19.06.2020, Подписано ЭП: Никитенков Павел Петрович, Глава муниципального образования 19.06.2020 8:14:10; Никитенков Павел Петрович, Глава муниципального образования 19.06.2020 8:14:18; Никитенков Павел Петрович, Глава муниципального образования 19.06.2020 8:45:22,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5ED" w:rsidRDefault="009B35ED" w:rsidP="00C85489">
      <w:pPr>
        <w:spacing w:after="0" w:line="240" w:lineRule="auto"/>
      </w:pPr>
      <w:r>
        <w:separator/>
      </w:r>
    </w:p>
  </w:footnote>
  <w:footnote w:type="continuationSeparator" w:id="1">
    <w:p w:rsidR="009B35ED" w:rsidRDefault="009B35ED" w:rsidP="00C85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2B64"/>
    <w:rsid w:val="00076AB6"/>
    <w:rsid w:val="00077E30"/>
    <w:rsid w:val="000B51A5"/>
    <w:rsid w:val="000C19EF"/>
    <w:rsid w:val="000D6173"/>
    <w:rsid w:val="000D6B7F"/>
    <w:rsid w:val="000E09F4"/>
    <w:rsid w:val="000E6CF1"/>
    <w:rsid w:val="000F7279"/>
    <w:rsid w:val="001205B0"/>
    <w:rsid w:val="001D6BD2"/>
    <w:rsid w:val="001F1B7D"/>
    <w:rsid w:val="00204714"/>
    <w:rsid w:val="002101C1"/>
    <w:rsid w:val="00264190"/>
    <w:rsid w:val="0026540D"/>
    <w:rsid w:val="002C3487"/>
    <w:rsid w:val="0030704C"/>
    <w:rsid w:val="00364EDD"/>
    <w:rsid w:val="003D0D2B"/>
    <w:rsid w:val="0042519F"/>
    <w:rsid w:val="00431829"/>
    <w:rsid w:val="00436649"/>
    <w:rsid w:val="0043771A"/>
    <w:rsid w:val="00440AA1"/>
    <w:rsid w:val="0049274A"/>
    <w:rsid w:val="004C2C81"/>
    <w:rsid w:val="005226B6"/>
    <w:rsid w:val="00522E1E"/>
    <w:rsid w:val="00557B84"/>
    <w:rsid w:val="005947FA"/>
    <w:rsid w:val="00594AC0"/>
    <w:rsid w:val="00596677"/>
    <w:rsid w:val="005A1A3C"/>
    <w:rsid w:val="005E6F4E"/>
    <w:rsid w:val="00616E82"/>
    <w:rsid w:val="0062057D"/>
    <w:rsid w:val="006265F7"/>
    <w:rsid w:val="00655407"/>
    <w:rsid w:val="0066447F"/>
    <w:rsid w:val="00671375"/>
    <w:rsid w:val="0068772E"/>
    <w:rsid w:val="00697EA8"/>
    <w:rsid w:val="006A3A88"/>
    <w:rsid w:val="006A5108"/>
    <w:rsid w:val="006E41A0"/>
    <w:rsid w:val="00702B0F"/>
    <w:rsid w:val="00725C4A"/>
    <w:rsid w:val="00755838"/>
    <w:rsid w:val="00782869"/>
    <w:rsid w:val="00782E79"/>
    <w:rsid w:val="007919E7"/>
    <w:rsid w:val="007B75F6"/>
    <w:rsid w:val="007F20B8"/>
    <w:rsid w:val="00807E57"/>
    <w:rsid w:val="0082155C"/>
    <w:rsid w:val="00835277"/>
    <w:rsid w:val="008363D8"/>
    <w:rsid w:val="008522C3"/>
    <w:rsid w:val="00855432"/>
    <w:rsid w:val="008702AA"/>
    <w:rsid w:val="0087594C"/>
    <w:rsid w:val="008B11E8"/>
    <w:rsid w:val="008C2994"/>
    <w:rsid w:val="009056AB"/>
    <w:rsid w:val="009059DF"/>
    <w:rsid w:val="00906460"/>
    <w:rsid w:val="00912CAB"/>
    <w:rsid w:val="0091777F"/>
    <w:rsid w:val="00920678"/>
    <w:rsid w:val="0092119C"/>
    <w:rsid w:val="0092549E"/>
    <w:rsid w:val="00995371"/>
    <w:rsid w:val="009B35ED"/>
    <w:rsid w:val="009B695D"/>
    <w:rsid w:val="009D00F9"/>
    <w:rsid w:val="009D328D"/>
    <w:rsid w:val="009E6A2C"/>
    <w:rsid w:val="00A24361"/>
    <w:rsid w:val="00A276B7"/>
    <w:rsid w:val="00A355DD"/>
    <w:rsid w:val="00A70B90"/>
    <w:rsid w:val="00AA3309"/>
    <w:rsid w:val="00AC2113"/>
    <w:rsid w:val="00B02E39"/>
    <w:rsid w:val="00B3273C"/>
    <w:rsid w:val="00B50303"/>
    <w:rsid w:val="00B52EE8"/>
    <w:rsid w:val="00B53D1C"/>
    <w:rsid w:val="00B6207C"/>
    <w:rsid w:val="00B734EC"/>
    <w:rsid w:val="00B7665B"/>
    <w:rsid w:val="00B82B64"/>
    <w:rsid w:val="00BC159B"/>
    <w:rsid w:val="00BD6B19"/>
    <w:rsid w:val="00C2749D"/>
    <w:rsid w:val="00C3209F"/>
    <w:rsid w:val="00C42BCA"/>
    <w:rsid w:val="00C61059"/>
    <w:rsid w:val="00C85489"/>
    <w:rsid w:val="00C917C0"/>
    <w:rsid w:val="00CA3991"/>
    <w:rsid w:val="00CC134F"/>
    <w:rsid w:val="00CC205A"/>
    <w:rsid w:val="00CD08DE"/>
    <w:rsid w:val="00CE1082"/>
    <w:rsid w:val="00CE3B35"/>
    <w:rsid w:val="00CF3B63"/>
    <w:rsid w:val="00D17A11"/>
    <w:rsid w:val="00D31066"/>
    <w:rsid w:val="00D35EC8"/>
    <w:rsid w:val="00D4442A"/>
    <w:rsid w:val="00D45A09"/>
    <w:rsid w:val="00D70936"/>
    <w:rsid w:val="00D90426"/>
    <w:rsid w:val="00DA2B3A"/>
    <w:rsid w:val="00DA6BC0"/>
    <w:rsid w:val="00DB55D3"/>
    <w:rsid w:val="00DF3229"/>
    <w:rsid w:val="00E33355"/>
    <w:rsid w:val="00E852E0"/>
    <w:rsid w:val="00ED1625"/>
    <w:rsid w:val="00EF1548"/>
    <w:rsid w:val="00F06888"/>
    <w:rsid w:val="00F24752"/>
    <w:rsid w:val="00F5081F"/>
    <w:rsid w:val="00F53E39"/>
    <w:rsid w:val="00F75B20"/>
    <w:rsid w:val="00F8069E"/>
    <w:rsid w:val="00F82DF4"/>
    <w:rsid w:val="00F91233"/>
    <w:rsid w:val="00FA661A"/>
    <w:rsid w:val="00FA7F7B"/>
    <w:rsid w:val="00FB1B1E"/>
    <w:rsid w:val="00FC6E38"/>
    <w:rsid w:val="00FF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FA"/>
  </w:style>
  <w:style w:type="paragraph" w:styleId="1">
    <w:name w:val="heading 1"/>
    <w:basedOn w:val="a"/>
    <w:next w:val="a"/>
    <w:link w:val="10"/>
    <w:uiPriority w:val="9"/>
    <w:qFormat/>
    <w:rsid w:val="00B327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2B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82B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2B6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82B6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B8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8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82B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327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4251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42519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264190"/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6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1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8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5489"/>
  </w:style>
  <w:style w:type="paragraph" w:styleId="a9">
    <w:name w:val="footer"/>
    <w:basedOn w:val="a"/>
    <w:link w:val="aa"/>
    <w:uiPriority w:val="99"/>
    <w:semiHidden/>
    <w:unhideWhenUsed/>
    <w:rsid w:val="00C8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85489"/>
  </w:style>
  <w:style w:type="character" w:styleId="ab">
    <w:name w:val="Strong"/>
    <w:basedOn w:val="a0"/>
    <w:uiPriority w:val="22"/>
    <w:qFormat/>
    <w:rsid w:val="008363D8"/>
    <w:rPr>
      <w:b/>
      <w:bCs/>
    </w:rPr>
  </w:style>
  <w:style w:type="table" w:styleId="ac">
    <w:name w:val="Table Grid"/>
    <w:basedOn w:val="a1"/>
    <w:uiPriority w:val="59"/>
    <w:rsid w:val="00836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">
    <w:name w:val="pj"/>
    <w:basedOn w:val="a"/>
    <w:rsid w:val="00C3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">
    <w:name w:val="pc"/>
    <w:basedOn w:val="a"/>
    <w:rsid w:val="00C3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laceholder Text"/>
    <w:basedOn w:val="a0"/>
    <w:uiPriority w:val="99"/>
    <w:semiHidden/>
    <w:rsid w:val="005A1A3C"/>
    <w:rPr>
      <w:color w:val="808080"/>
    </w:rPr>
  </w:style>
  <w:style w:type="paragraph" w:styleId="ae">
    <w:name w:val="No Spacing"/>
    <w:uiPriority w:val="1"/>
    <w:qFormat/>
    <w:rsid w:val="00DB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27C72-265D-4BF3-A80B-244B4FC4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3230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n-econ</dc:creator>
  <cp:lastModifiedBy>urist</cp:lastModifiedBy>
  <cp:revision>2</cp:revision>
  <cp:lastPrinted>2019-04-03T12:45:00Z</cp:lastPrinted>
  <dcterms:created xsi:type="dcterms:W3CDTF">2020-07-08T12:32:00Z</dcterms:created>
  <dcterms:modified xsi:type="dcterms:W3CDTF">2020-07-08T12:32:00Z</dcterms:modified>
</cp:coreProperties>
</file>